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C9C7D" w14:textId="77777777" w:rsidR="003528BB" w:rsidRDefault="003528BB" w:rsidP="003528BB"/>
    <w:p w14:paraId="09CC1D36" w14:textId="77777777" w:rsidR="003528BB" w:rsidRDefault="003528BB" w:rsidP="003528BB"/>
    <w:p w14:paraId="76896420" w14:textId="77777777" w:rsidR="003528BB" w:rsidRDefault="003528BB" w:rsidP="003528BB"/>
    <w:p w14:paraId="0FD312B8" w14:textId="77777777" w:rsidR="003528BB" w:rsidRDefault="003528BB" w:rsidP="003528BB"/>
    <w:p w14:paraId="2F81D052" w14:textId="77777777" w:rsidR="003528BB" w:rsidRDefault="003528BB" w:rsidP="003528BB"/>
    <w:p w14:paraId="2221AB77" w14:textId="77777777" w:rsidR="003528BB" w:rsidRDefault="003528BB" w:rsidP="003528BB"/>
    <w:p w14:paraId="00BBA743" w14:textId="77777777" w:rsidR="003528BB" w:rsidRDefault="003528BB" w:rsidP="003528BB"/>
    <w:p w14:paraId="3A0C5D34" w14:textId="77777777" w:rsidR="003528BB" w:rsidRDefault="003528BB" w:rsidP="003528BB"/>
    <w:p w14:paraId="07605FA6" w14:textId="77777777" w:rsidR="003528BB" w:rsidRDefault="003528BB" w:rsidP="003528BB"/>
    <w:p w14:paraId="17421463" w14:textId="77777777" w:rsidR="003528BB" w:rsidRDefault="003528BB" w:rsidP="003528BB"/>
    <w:p w14:paraId="5D14CC77" w14:textId="5C38D85F" w:rsidR="008B0C6B" w:rsidRPr="006F02A4" w:rsidRDefault="001C07A6" w:rsidP="003528BB">
      <w:pPr>
        <w:pStyle w:val="Covertitle"/>
      </w:pPr>
      <w:r w:rsidRPr="006F02A4">
        <w:t>Annual TRAC 2019-20</w:t>
      </w:r>
    </w:p>
    <w:p w14:paraId="01F4DB68" w14:textId="43A23C0E" w:rsidR="003528BB" w:rsidRPr="006F02A4" w:rsidRDefault="001C07A6" w:rsidP="003528BB">
      <w:pPr>
        <w:pStyle w:val="Coversubtitle"/>
      </w:pPr>
      <w:r w:rsidRPr="006F02A4">
        <w:t xml:space="preserve">Sector summary and analysis by </w:t>
      </w:r>
      <w:r w:rsidR="00D468E1" w:rsidRPr="006F02A4">
        <w:br/>
      </w:r>
      <w:r w:rsidRPr="006F02A4">
        <w:t>TRAC peer group</w:t>
      </w:r>
    </w:p>
    <w:p w14:paraId="2991E705" w14:textId="77777777" w:rsidR="003528BB" w:rsidRPr="006F02A4" w:rsidRDefault="003528BB" w:rsidP="004C31D6">
      <w:pPr>
        <w:rPr>
          <w:color w:val="FFFFFF" w:themeColor="background1"/>
        </w:rPr>
      </w:pPr>
    </w:p>
    <w:p w14:paraId="5D58742C" w14:textId="77777777" w:rsidR="003528BB" w:rsidRPr="006F02A4" w:rsidRDefault="003528BB" w:rsidP="004C31D6">
      <w:pPr>
        <w:rPr>
          <w:color w:val="FFFFFF" w:themeColor="background1"/>
        </w:rPr>
      </w:pPr>
    </w:p>
    <w:p w14:paraId="256DA629" w14:textId="77777777" w:rsidR="003528BB" w:rsidRPr="006F02A4" w:rsidRDefault="003528BB" w:rsidP="004C31D6">
      <w:pPr>
        <w:rPr>
          <w:color w:val="FFFFFF" w:themeColor="background1"/>
        </w:rPr>
      </w:pPr>
    </w:p>
    <w:p w14:paraId="7A8C3521" w14:textId="77777777" w:rsidR="003528BB" w:rsidRPr="006F02A4" w:rsidRDefault="003528BB" w:rsidP="004C31D6">
      <w:pPr>
        <w:rPr>
          <w:color w:val="FFFFFF" w:themeColor="background1"/>
        </w:rPr>
      </w:pPr>
    </w:p>
    <w:p w14:paraId="6FDF22B4" w14:textId="77777777" w:rsidR="003528BB" w:rsidRPr="006F02A4" w:rsidRDefault="003528BB" w:rsidP="004C31D6">
      <w:pPr>
        <w:rPr>
          <w:color w:val="FFFFFF" w:themeColor="background1"/>
        </w:rPr>
      </w:pPr>
    </w:p>
    <w:p w14:paraId="5E434CFF" w14:textId="77777777" w:rsidR="008A26E6" w:rsidRPr="006F02A4" w:rsidRDefault="008A26E6" w:rsidP="004C31D6">
      <w:pPr>
        <w:rPr>
          <w:color w:val="FFFFFF" w:themeColor="background1"/>
        </w:rPr>
      </w:pPr>
    </w:p>
    <w:p w14:paraId="56EDCB58" w14:textId="77777777" w:rsidR="008A26E6" w:rsidRPr="006F02A4" w:rsidRDefault="008A26E6" w:rsidP="004C31D6">
      <w:pPr>
        <w:rPr>
          <w:color w:val="FFFFFF" w:themeColor="background1"/>
        </w:rPr>
      </w:pPr>
    </w:p>
    <w:p w14:paraId="7B9EE0B5" w14:textId="77777777" w:rsidR="008A26E6" w:rsidRPr="006F02A4" w:rsidRDefault="008A26E6" w:rsidP="004C31D6">
      <w:pPr>
        <w:rPr>
          <w:color w:val="FFFFFF" w:themeColor="background1"/>
        </w:rPr>
      </w:pPr>
    </w:p>
    <w:p w14:paraId="191F759E" w14:textId="77777777" w:rsidR="008A26E6" w:rsidRPr="006F02A4" w:rsidRDefault="008A26E6" w:rsidP="004C31D6">
      <w:pPr>
        <w:rPr>
          <w:color w:val="FFFFFF" w:themeColor="background1"/>
        </w:rPr>
      </w:pPr>
    </w:p>
    <w:p w14:paraId="66EFFD98" w14:textId="77777777" w:rsidR="008A26E6" w:rsidRPr="006F02A4" w:rsidRDefault="008A26E6" w:rsidP="004C31D6">
      <w:pPr>
        <w:rPr>
          <w:color w:val="FFFFFF" w:themeColor="background1"/>
        </w:rPr>
      </w:pPr>
    </w:p>
    <w:p w14:paraId="1FE0B033" w14:textId="77777777" w:rsidR="008A26E6" w:rsidRPr="006F02A4" w:rsidRDefault="008A26E6" w:rsidP="004C31D6">
      <w:pPr>
        <w:rPr>
          <w:color w:val="FFFFFF" w:themeColor="background1"/>
        </w:rPr>
      </w:pPr>
    </w:p>
    <w:p w14:paraId="09D4514C" w14:textId="77777777" w:rsidR="001C77CB" w:rsidRPr="006F02A4" w:rsidRDefault="001C77CB" w:rsidP="004C31D6">
      <w:pPr>
        <w:rPr>
          <w:color w:val="FFFFFF" w:themeColor="background1"/>
        </w:rPr>
      </w:pPr>
    </w:p>
    <w:p w14:paraId="313F9000" w14:textId="77777777" w:rsidR="001C77CB" w:rsidRPr="006F02A4" w:rsidRDefault="001C77CB" w:rsidP="004C31D6">
      <w:pPr>
        <w:rPr>
          <w:color w:val="FFFFFF" w:themeColor="background1"/>
        </w:rPr>
      </w:pPr>
    </w:p>
    <w:p w14:paraId="6E841D19" w14:textId="77777777" w:rsidR="008A26E6" w:rsidRPr="006F02A4" w:rsidRDefault="008A26E6" w:rsidP="004C31D6">
      <w:pPr>
        <w:rPr>
          <w:color w:val="FFFFFF" w:themeColor="background1"/>
        </w:rPr>
      </w:pPr>
    </w:p>
    <w:p w14:paraId="5D5D44C3" w14:textId="77777777" w:rsidR="003528BB" w:rsidRPr="006F02A4" w:rsidRDefault="003528BB" w:rsidP="004C31D6">
      <w:pPr>
        <w:rPr>
          <w:color w:val="FFFFFF" w:themeColor="background1"/>
        </w:rPr>
      </w:pPr>
    </w:p>
    <w:p w14:paraId="5E23D045" w14:textId="77777777" w:rsidR="003528BB" w:rsidRPr="006F02A4" w:rsidRDefault="003528BB" w:rsidP="004C31D6">
      <w:pPr>
        <w:rPr>
          <w:color w:val="FFFFFF" w:themeColor="background1"/>
        </w:rPr>
      </w:pPr>
    </w:p>
    <w:p w14:paraId="1EF9C255" w14:textId="65932F34" w:rsidR="003528BB" w:rsidRPr="006F02A4" w:rsidRDefault="003528BB" w:rsidP="00531B3A">
      <w:pPr>
        <w:pStyle w:val="Coverreference"/>
      </w:pPr>
      <w:r w:rsidRPr="006F02A4">
        <w:rPr>
          <w:b/>
        </w:rPr>
        <w:t>Reference</w:t>
      </w:r>
      <w:r w:rsidRPr="006F02A4">
        <w:t xml:space="preserve"> </w:t>
      </w:r>
      <w:proofErr w:type="spellStart"/>
      <w:r w:rsidR="00DB67F8" w:rsidRPr="006F02A4">
        <w:t>OfS</w:t>
      </w:r>
      <w:proofErr w:type="spellEnd"/>
      <w:r w:rsidR="00DB67F8" w:rsidRPr="006F02A4">
        <w:t xml:space="preserve"> 20</w:t>
      </w:r>
      <w:r w:rsidR="00F064F6" w:rsidRPr="006F02A4">
        <w:t>2</w:t>
      </w:r>
      <w:r w:rsidR="001C07A6" w:rsidRPr="006F02A4">
        <w:t>1</w:t>
      </w:r>
      <w:r w:rsidR="008972D6" w:rsidRPr="006F02A4">
        <w:t>.</w:t>
      </w:r>
      <w:r w:rsidR="00D468E1" w:rsidRPr="006F02A4">
        <w:t>31</w:t>
      </w:r>
    </w:p>
    <w:p w14:paraId="6EA0F37E" w14:textId="682891D1" w:rsidR="008A26E6" w:rsidRPr="006F02A4" w:rsidRDefault="008A26E6" w:rsidP="008A26E6">
      <w:pPr>
        <w:pStyle w:val="Coverpurposeaction"/>
      </w:pPr>
      <w:r w:rsidRPr="006F02A4">
        <w:t xml:space="preserve">Enquiries to </w:t>
      </w:r>
      <w:r w:rsidR="00B76FD7" w:rsidRPr="006F02A4">
        <w:rPr>
          <w:b w:val="0"/>
        </w:rPr>
        <w:t>trac@officeforstudents.org.uk</w:t>
      </w:r>
    </w:p>
    <w:p w14:paraId="2FAA26F4" w14:textId="34419B85" w:rsidR="003528BB" w:rsidRPr="006F02A4" w:rsidRDefault="003528BB" w:rsidP="00531B3A">
      <w:pPr>
        <w:pStyle w:val="Covertoetc"/>
      </w:pPr>
      <w:r w:rsidRPr="006F02A4">
        <w:t xml:space="preserve">Publication date </w:t>
      </w:r>
      <w:r w:rsidR="00DB67F8" w:rsidRPr="006F02A4">
        <w:rPr>
          <w:b w:val="0"/>
        </w:rPr>
        <w:t>2</w:t>
      </w:r>
      <w:r w:rsidR="004A2F46" w:rsidRPr="006F02A4">
        <w:rPr>
          <w:b w:val="0"/>
        </w:rPr>
        <w:t>9 July 2</w:t>
      </w:r>
      <w:r w:rsidR="00DB67F8" w:rsidRPr="006F02A4">
        <w:rPr>
          <w:b w:val="0"/>
        </w:rPr>
        <w:t>0</w:t>
      </w:r>
      <w:r w:rsidR="00F064F6" w:rsidRPr="006F02A4">
        <w:rPr>
          <w:b w:val="0"/>
        </w:rPr>
        <w:t>2</w:t>
      </w:r>
      <w:r w:rsidR="004A2F46" w:rsidRPr="006F02A4">
        <w:rPr>
          <w:b w:val="0"/>
        </w:rPr>
        <w:t>1</w:t>
      </w:r>
    </w:p>
    <w:p w14:paraId="2DA533FC" w14:textId="77777777" w:rsidR="001E2B7E" w:rsidRPr="006F02A4" w:rsidRDefault="001E2B7E">
      <w:pPr>
        <w:sectPr w:rsidR="001E2B7E" w:rsidRPr="006F02A4" w:rsidSect="0013346D">
          <w:footerReference w:type="default" r:id="rId12"/>
          <w:headerReference w:type="first" r:id="rId13"/>
          <w:footerReference w:type="first" r:id="rId14"/>
          <w:pgSz w:w="11906" w:h="16838" w:code="9"/>
          <w:pgMar w:top="1134" w:right="1134" w:bottom="1134" w:left="1134" w:header="283" w:footer="454" w:gutter="0"/>
          <w:cols w:space="708"/>
          <w:titlePg/>
          <w:docGrid w:linePitch="360"/>
        </w:sectPr>
      </w:pPr>
    </w:p>
    <w:sdt>
      <w:sdtPr>
        <w:rPr>
          <w:rFonts w:asciiTheme="minorHAnsi" w:eastAsiaTheme="minorHAnsi" w:hAnsiTheme="minorHAnsi" w:cstheme="minorBidi"/>
          <w:b w:val="0"/>
          <w:color w:val="auto"/>
          <w:sz w:val="22"/>
          <w:szCs w:val="22"/>
          <w:lang w:val="en-GB"/>
        </w:rPr>
        <w:id w:val="1421522837"/>
        <w:docPartObj>
          <w:docPartGallery w:val="Table of Contents"/>
          <w:docPartUnique/>
        </w:docPartObj>
      </w:sdtPr>
      <w:sdtEndPr>
        <w:rPr>
          <w:bCs/>
          <w:noProof/>
        </w:rPr>
      </w:sdtEndPr>
      <w:sdtContent>
        <w:p w14:paraId="1A33CFDE" w14:textId="19F6C12C" w:rsidR="002353D3" w:rsidRDefault="002353D3">
          <w:pPr>
            <w:pStyle w:val="TOCHeading"/>
          </w:pPr>
          <w:r>
            <w:t>Contents</w:t>
          </w:r>
        </w:p>
        <w:p w14:paraId="2FB7ED65" w14:textId="71EC7E05" w:rsidR="002353D3" w:rsidRDefault="002353D3">
          <w:pPr>
            <w:pStyle w:val="TOC1"/>
            <w:rPr>
              <w:rFonts w:eastAsiaTheme="minorEastAsia"/>
              <w:b w:val="0"/>
              <w:lang w:eastAsia="en-GB"/>
            </w:rPr>
          </w:pPr>
          <w:r>
            <w:fldChar w:fldCharType="begin"/>
          </w:r>
          <w:r>
            <w:instrText xml:space="preserve"> TOC \o "1-3" \h \z \u </w:instrText>
          </w:r>
          <w:r>
            <w:fldChar w:fldCharType="separate"/>
          </w:r>
          <w:hyperlink w:anchor="_Toc78299724" w:history="1">
            <w:r w:rsidRPr="000352DD">
              <w:rPr>
                <w:rStyle w:val="Hyperlink"/>
              </w:rPr>
              <w:t>Background</w:t>
            </w:r>
            <w:r>
              <w:rPr>
                <w:webHidden/>
              </w:rPr>
              <w:tab/>
            </w:r>
            <w:r>
              <w:rPr>
                <w:webHidden/>
              </w:rPr>
              <w:fldChar w:fldCharType="begin"/>
            </w:r>
            <w:r>
              <w:rPr>
                <w:webHidden/>
              </w:rPr>
              <w:instrText xml:space="preserve"> PAGEREF _Toc78299724 \h </w:instrText>
            </w:r>
            <w:r>
              <w:rPr>
                <w:webHidden/>
              </w:rPr>
            </w:r>
            <w:r>
              <w:rPr>
                <w:webHidden/>
              </w:rPr>
              <w:fldChar w:fldCharType="separate"/>
            </w:r>
            <w:r>
              <w:rPr>
                <w:webHidden/>
              </w:rPr>
              <w:t>2</w:t>
            </w:r>
            <w:r>
              <w:rPr>
                <w:webHidden/>
              </w:rPr>
              <w:fldChar w:fldCharType="end"/>
            </w:r>
          </w:hyperlink>
        </w:p>
        <w:p w14:paraId="3E1B1B4D" w14:textId="1F22C1A6" w:rsidR="002353D3" w:rsidRDefault="00B05134" w:rsidP="002159C7">
          <w:pPr>
            <w:pStyle w:val="TOC2"/>
            <w:rPr>
              <w:rFonts w:eastAsiaTheme="minorEastAsia"/>
              <w:lang w:eastAsia="en-GB"/>
            </w:rPr>
          </w:pPr>
          <w:hyperlink w:anchor="_Toc78299725" w:history="1">
            <w:r w:rsidR="002353D3" w:rsidRPr="000352DD">
              <w:rPr>
                <w:rStyle w:val="Hyperlink"/>
              </w:rPr>
              <w:t>Contact</w:t>
            </w:r>
            <w:r w:rsidR="002353D3">
              <w:rPr>
                <w:webHidden/>
              </w:rPr>
              <w:tab/>
            </w:r>
            <w:r w:rsidR="002353D3">
              <w:rPr>
                <w:webHidden/>
              </w:rPr>
              <w:fldChar w:fldCharType="begin"/>
            </w:r>
            <w:r w:rsidR="002353D3">
              <w:rPr>
                <w:webHidden/>
              </w:rPr>
              <w:instrText xml:space="preserve"> PAGEREF _Toc78299725 \h </w:instrText>
            </w:r>
            <w:r w:rsidR="002353D3">
              <w:rPr>
                <w:webHidden/>
              </w:rPr>
            </w:r>
            <w:r w:rsidR="002353D3">
              <w:rPr>
                <w:webHidden/>
              </w:rPr>
              <w:fldChar w:fldCharType="separate"/>
            </w:r>
            <w:r w:rsidR="002353D3">
              <w:rPr>
                <w:webHidden/>
              </w:rPr>
              <w:t>3</w:t>
            </w:r>
            <w:r w:rsidR="002353D3">
              <w:rPr>
                <w:webHidden/>
              </w:rPr>
              <w:fldChar w:fldCharType="end"/>
            </w:r>
          </w:hyperlink>
        </w:p>
        <w:p w14:paraId="30F32A1F" w14:textId="15A5B5C3" w:rsidR="002353D3" w:rsidRDefault="00B05134">
          <w:pPr>
            <w:pStyle w:val="TOC1"/>
            <w:rPr>
              <w:rFonts w:eastAsiaTheme="minorEastAsia"/>
              <w:b w:val="0"/>
              <w:lang w:eastAsia="en-GB"/>
            </w:rPr>
          </w:pPr>
          <w:hyperlink w:anchor="_Toc78299726" w:history="1">
            <w:r w:rsidR="002353D3" w:rsidRPr="000352DD">
              <w:rPr>
                <w:rStyle w:val="Hyperlink"/>
              </w:rPr>
              <w:t>Key points</w:t>
            </w:r>
            <w:r w:rsidR="002353D3">
              <w:rPr>
                <w:webHidden/>
              </w:rPr>
              <w:tab/>
            </w:r>
            <w:r w:rsidR="002353D3">
              <w:rPr>
                <w:webHidden/>
              </w:rPr>
              <w:fldChar w:fldCharType="begin"/>
            </w:r>
            <w:r w:rsidR="002353D3">
              <w:rPr>
                <w:webHidden/>
              </w:rPr>
              <w:instrText xml:space="preserve"> PAGEREF _Toc78299726 \h </w:instrText>
            </w:r>
            <w:r w:rsidR="002353D3">
              <w:rPr>
                <w:webHidden/>
              </w:rPr>
            </w:r>
            <w:r w:rsidR="002353D3">
              <w:rPr>
                <w:webHidden/>
              </w:rPr>
              <w:fldChar w:fldCharType="separate"/>
            </w:r>
            <w:r w:rsidR="002353D3">
              <w:rPr>
                <w:webHidden/>
              </w:rPr>
              <w:t>4</w:t>
            </w:r>
            <w:r w:rsidR="002353D3">
              <w:rPr>
                <w:webHidden/>
              </w:rPr>
              <w:fldChar w:fldCharType="end"/>
            </w:r>
          </w:hyperlink>
        </w:p>
        <w:p w14:paraId="7BA3B63C" w14:textId="0B0C0452" w:rsidR="002353D3" w:rsidRDefault="00B05134" w:rsidP="002159C7">
          <w:pPr>
            <w:pStyle w:val="TOC2"/>
            <w:rPr>
              <w:rFonts w:eastAsiaTheme="minorEastAsia"/>
              <w:lang w:eastAsia="en-GB"/>
            </w:rPr>
          </w:pPr>
          <w:hyperlink w:anchor="_Toc78299727" w:history="1">
            <w:r w:rsidR="002353D3" w:rsidRPr="000352DD">
              <w:rPr>
                <w:rStyle w:val="Hyperlink"/>
              </w:rPr>
              <w:t xml:space="preserve">Definitions for Table 1 and Figure 1 </w:t>
            </w:r>
            <w:r w:rsidR="002353D3">
              <w:rPr>
                <w:webHidden/>
              </w:rPr>
              <w:tab/>
            </w:r>
            <w:r w:rsidR="002353D3">
              <w:rPr>
                <w:webHidden/>
              </w:rPr>
              <w:fldChar w:fldCharType="begin"/>
            </w:r>
            <w:r w:rsidR="002353D3">
              <w:rPr>
                <w:webHidden/>
              </w:rPr>
              <w:instrText xml:space="preserve"> PAGEREF _Toc78299727 \h </w:instrText>
            </w:r>
            <w:r w:rsidR="002353D3">
              <w:rPr>
                <w:webHidden/>
              </w:rPr>
            </w:r>
            <w:r w:rsidR="002353D3">
              <w:rPr>
                <w:webHidden/>
              </w:rPr>
              <w:fldChar w:fldCharType="separate"/>
            </w:r>
            <w:r w:rsidR="002353D3">
              <w:rPr>
                <w:webHidden/>
              </w:rPr>
              <w:t>6</w:t>
            </w:r>
            <w:r w:rsidR="002353D3">
              <w:rPr>
                <w:webHidden/>
              </w:rPr>
              <w:fldChar w:fldCharType="end"/>
            </w:r>
          </w:hyperlink>
        </w:p>
        <w:p w14:paraId="529306DE" w14:textId="479B24C2" w:rsidR="002353D3" w:rsidRDefault="00B05134">
          <w:pPr>
            <w:pStyle w:val="TOC3"/>
            <w:tabs>
              <w:tab w:val="right" w:leader="dot" w:pos="9628"/>
            </w:tabs>
            <w:rPr>
              <w:rFonts w:eastAsiaTheme="minorEastAsia"/>
              <w:noProof/>
              <w:lang w:eastAsia="en-GB"/>
            </w:rPr>
          </w:pPr>
          <w:hyperlink w:anchor="_Toc78299728" w:history="1">
            <w:r w:rsidR="002353D3" w:rsidRPr="000352DD">
              <w:rPr>
                <w:rStyle w:val="Hyperlink"/>
                <w:noProof/>
              </w:rPr>
              <w:t>Table 1: TRAC income and full economic costs by activity, 2019-20 (higher education institutions in England and Northern Ireland) (figures in £M)</w:t>
            </w:r>
            <w:r w:rsidR="002353D3">
              <w:rPr>
                <w:noProof/>
                <w:webHidden/>
              </w:rPr>
              <w:tab/>
            </w:r>
            <w:r w:rsidR="002353D3">
              <w:rPr>
                <w:noProof/>
                <w:webHidden/>
              </w:rPr>
              <w:fldChar w:fldCharType="begin"/>
            </w:r>
            <w:r w:rsidR="002353D3">
              <w:rPr>
                <w:noProof/>
                <w:webHidden/>
              </w:rPr>
              <w:instrText xml:space="preserve"> PAGEREF _Toc78299728 \h </w:instrText>
            </w:r>
            <w:r w:rsidR="002353D3">
              <w:rPr>
                <w:noProof/>
                <w:webHidden/>
              </w:rPr>
            </w:r>
            <w:r w:rsidR="002353D3">
              <w:rPr>
                <w:noProof/>
                <w:webHidden/>
              </w:rPr>
              <w:fldChar w:fldCharType="separate"/>
            </w:r>
            <w:r w:rsidR="002353D3">
              <w:rPr>
                <w:noProof/>
                <w:webHidden/>
              </w:rPr>
              <w:t>7</w:t>
            </w:r>
            <w:r w:rsidR="002353D3">
              <w:rPr>
                <w:noProof/>
                <w:webHidden/>
              </w:rPr>
              <w:fldChar w:fldCharType="end"/>
            </w:r>
          </w:hyperlink>
        </w:p>
        <w:p w14:paraId="6D7B6237" w14:textId="37D347BD" w:rsidR="002353D3" w:rsidRDefault="00B05134">
          <w:pPr>
            <w:pStyle w:val="TOC3"/>
            <w:tabs>
              <w:tab w:val="right" w:leader="dot" w:pos="9628"/>
            </w:tabs>
            <w:rPr>
              <w:rFonts w:eastAsiaTheme="minorEastAsia"/>
              <w:noProof/>
              <w:lang w:eastAsia="en-GB"/>
            </w:rPr>
          </w:pPr>
          <w:hyperlink w:anchor="_Toc78299729" w:history="1">
            <w:r w:rsidR="002353D3" w:rsidRPr="000352DD">
              <w:rPr>
                <w:rStyle w:val="Hyperlink"/>
                <w:noProof/>
              </w:rPr>
              <w:t>Figure 1: TRAC full economic cost surplus/deficit by activity, 2019-20 (higher education institutions in England and Northern Ireland)</w:t>
            </w:r>
            <w:r w:rsidR="002353D3">
              <w:rPr>
                <w:noProof/>
                <w:webHidden/>
              </w:rPr>
              <w:tab/>
            </w:r>
            <w:r w:rsidR="002353D3">
              <w:rPr>
                <w:noProof/>
                <w:webHidden/>
              </w:rPr>
              <w:fldChar w:fldCharType="begin"/>
            </w:r>
            <w:r w:rsidR="002353D3">
              <w:rPr>
                <w:noProof/>
                <w:webHidden/>
              </w:rPr>
              <w:instrText xml:space="preserve"> PAGEREF _Toc78299729 \h </w:instrText>
            </w:r>
            <w:r w:rsidR="002353D3">
              <w:rPr>
                <w:noProof/>
                <w:webHidden/>
              </w:rPr>
            </w:r>
            <w:r w:rsidR="002353D3">
              <w:rPr>
                <w:noProof/>
                <w:webHidden/>
              </w:rPr>
              <w:fldChar w:fldCharType="separate"/>
            </w:r>
            <w:r w:rsidR="002353D3">
              <w:rPr>
                <w:noProof/>
                <w:webHidden/>
              </w:rPr>
              <w:t>8</w:t>
            </w:r>
            <w:r w:rsidR="002353D3">
              <w:rPr>
                <w:noProof/>
                <w:webHidden/>
              </w:rPr>
              <w:fldChar w:fldCharType="end"/>
            </w:r>
          </w:hyperlink>
        </w:p>
        <w:p w14:paraId="3173C394" w14:textId="7A6E2BF6" w:rsidR="002353D3" w:rsidRDefault="00B05134">
          <w:pPr>
            <w:pStyle w:val="TOC3"/>
            <w:tabs>
              <w:tab w:val="right" w:leader="dot" w:pos="9628"/>
            </w:tabs>
            <w:rPr>
              <w:rFonts w:eastAsiaTheme="minorEastAsia"/>
              <w:noProof/>
              <w:lang w:eastAsia="en-GB"/>
            </w:rPr>
          </w:pPr>
          <w:hyperlink w:anchor="_Toc78299730" w:history="1">
            <w:r w:rsidR="002353D3" w:rsidRPr="000352DD">
              <w:rPr>
                <w:rStyle w:val="Hyperlink"/>
                <w:noProof/>
              </w:rPr>
              <w:t>Table 2: Research income and costs by sponsor type, 2019-20 (higher education institutions in England and Northern Ireland) (figures in £M)</w:t>
            </w:r>
            <w:r w:rsidR="002353D3">
              <w:rPr>
                <w:noProof/>
                <w:webHidden/>
              </w:rPr>
              <w:tab/>
            </w:r>
            <w:r w:rsidR="002353D3">
              <w:rPr>
                <w:noProof/>
                <w:webHidden/>
              </w:rPr>
              <w:fldChar w:fldCharType="begin"/>
            </w:r>
            <w:r w:rsidR="002353D3">
              <w:rPr>
                <w:noProof/>
                <w:webHidden/>
              </w:rPr>
              <w:instrText xml:space="preserve"> PAGEREF _Toc78299730 \h </w:instrText>
            </w:r>
            <w:r w:rsidR="002353D3">
              <w:rPr>
                <w:noProof/>
                <w:webHidden/>
              </w:rPr>
            </w:r>
            <w:r w:rsidR="002353D3">
              <w:rPr>
                <w:noProof/>
                <w:webHidden/>
              </w:rPr>
              <w:fldChar w:fldCharType="separate"/>
            </w:r>
            <w:r w:rsidR="002353D3">
              <w:rPr>
                <w:noProof/>
                <w:webHidden/>
              </w:rPr>
              <w:t>10</w:t>
            </w:r>
            <w:r w:rsidR="002353D3">
              <w:rPr>
                <w:noProof/>
                <w:webHidden/>
              </w:rPr>
              <w:fldChar w:fldCharType="end"/>
            </w:r>
          </w:hyperlink>
        </w:p>
        <w:p w14:paraId="4122D850" w14:textId="31C6DE2C" w:rsidR="002353D3" w:rsidRDefault="00B05134">
          <w:pPr>
            <w:pStyle w:val="TOC1"/>
            <w:rPr>
              <w:rFonts w:eastAsiaTheme="minorEastAsia"/>
              <w:b w:val="0"/>
              <w:lang w:eastAsia="en-GB"/>
            </w:rPr>
          </w:pPr>
          <w:hyperlink w:anchor="_Toc78299731" w:history="1">
            <w:r w:rsidR="002353D3" w:rsidRPr="000352DD">
              <w:rPr>
                <w:rStyle w:val="Hyperlink"/>
              </w:rPr>
              <w:t>Annex A: Derivation</w:t>
            </w:r>
            <w:r w:rsidR="002353D3">
              <w:rPr>
                <w:webHidden/>
              </w:rPr>
              <w:tab/>
            </w:r>
            <w:r w:rsidR="002353D3">
              <w:rPr>
                <w:webHidden/>
              </w:rPr>
              <w:fldChar w:fldCharType="begin"/>
            </w:r>
            <w:r w:rsidR="002353D3">
              <w:rPr>
                <w:webHidden/>
              </w:rPr>
              <w:instrText xml:space="preserve"> PAGEREF _Toc78299731 \h </w:instrText>
            </w:r>
            <w:r w:rsidR="002353D3">
              <w:rPr>
                <w:webHidden/>
              </w:rPr>
            </w:r>
            <w:r w:rsidR="002353D3">
              <w:rPr>
                <w:webHidden/>
              </w:rPr>
              <w:fldChar w:fldCharType="separate"/>
            </w:r>
            <w:r w:rsidR="002353D3">
              <w:rPr>
                <w:webHidden/>
              </w:rPr>
              <w:t>12</w:t>
            </w:r>
            <w:r w:rsidR="002353D3">
              <w:rPr>
                <w:webHidden/>
              </w:rPr>
              <w:fldChar w:fldCharType="end"/>
            </w:r>
          </w:hyperlink>
        </w:p>
        <w:p w14:paraId="70D13CD7" w14:textId="09822818" w:rsidR="002353D3" w:rsidRDefault="00B05134">
          <w:pPr>
            <w:pStyle w:val="TOC3"/>
            <w:tabs>
              <w:tab w:val="right" w:leader="dot" w:pos="9628"/>
            </w:tabs>
            <w:rPr>
              <w:rFonts w:eastAsiaTheme="minorEastAsia"/>
              <w:noProof/>
              <w:lang w:eastAsia="en-GB"/>
            </w:rPr>
          </w:pPr>
          <w:hyperlink w:anchor="_Toc78299732" w:history="1">
            <w:r w:rsidR="002353D3" w:rsidRPr="000352DD">
              <w:rPr>
                <w:rStyle w:val="Hyperlink"/>
                <w:noProof/>
              </w:rPr>
              <w:t>Table 3: Derivation of Transparent Approach to Costing (TRAC) full economic costs and TRAC surplus/(deficit), 2019-20 (higher education institutions in England and Northern Ireland)</w:t>
            </w:r>
            <w:r w:rsidR="002353D3">
              <w:rPr>
                <w:noProof/>
                <w:webHidden/>
              </w:rPr>
              <w:tab/>
            </w:r>
            <w:r w:rsidR="002353D3">
              <w:rPr>
                <w:noProof/>
                <w:webHidden/>
              </w:rPr>
              <w:fldChar w:fldCharType="begin"/>
            </w:r>
            <w:r w:rsidR="002353D3">
              <w:rPr>
                <w:noProof/>
                <w:webHidden/>
              </w:rPr>
              <w:instrText xml:space="preserve"> PAGEREF _Toc78299732 \h </w:instrText>
            </w:r>
            <w:r w:rsidR="002353D3">
              <w:rPr>
                <w:noProof/>
                <w:webHidden/>
              </w:rPr>
            </w:r>
            <w:r w:rsidR="002353D3">
              <w:rPr>
                <w:noProof/>
                <w:webHidden/>
              </w:rPr>
              <w:fldChar w:fldCharType="separate"/>
            </w:r>
            <w:r w:rsidR="002353D3">
              <w:rPr>
                <w:noProof/>
                <w:webHidden/>
              </w:rPr>
              <w:t>12</w:t>
            </w:r>
            <w:r w:rsidR="002353D3">
              <w:rPr>
                <w:noProof/>
                <w:webHidden/>
              </w:rPr>
              <w:fldChar w:fldCharType="end"/>
            </w:r>
          </w:hyperlink>
        </w:p>
        <w:p w14:paraId="261804C2" w14:textId="7754895B" w:rsidR="002353D3" w:rsidRDefault="00B05134">
          <w:pPr>
            <w:pStyle w:val="TOC1"/>
            <w:rPr>
              <w:rFonts w:eastAsiaTheme="minorEastAsia"/>
              <w:b w:val="0"/>
              <w:lang w:eastAsia="en-GB"/>
            </w:rPr>
          </w:pPr>
          <w:hyperlink w:anchor="_Toc78299733" w:history="1">
            <w:r w:rsidR="002353D3" w:rsidRPr="000352DD">
              <w:rPr>
                <w:rStyle w:val="Hyperlink"/>
              </w:rPr>
              <w:t>Annex B: UK sector data summary</w:t>
            </w:r>
            <w:r w:rsidR="002353D3">
              <w:rPr>
                <w:webHidden/>
              </w:rPr>
              <w:tab/>
            </w:r>
            <w:r w:rsidR="002353D3">
              <w:rPr>
                <w:webHidden/>
              </w:rPr>
              <w:fldChar w:fldCharType="begin"/>
            </w:r>
            <w:r w:rsidR="002353D3">
              <w:rPr>
                <w:webHidden/>
              </w:rPr>
              <w:instrText xml:space="preserve"> PAGEREF _Toc78299733 \h </w:instrText>
            </w:r>
            <w:r w:rsidR="002353D3">
              <w:rPr>
                <w:webHidden/>
              </w:rPr>
            </w:r>
            <w:r w:rsidR="002353D3">
              <w:rPr>
                <w:webHidden/>
              </w:rPr>
              <w:fldChar w:fldCharType="separate"/>
            </w:r>
            <w:r w:rsidR="002353D3">
              <w:rPr>
                <w:webHidden/>
              </w:rPr>
              <w:t>13</w:t>
            </w:r>
            <w:r w:rsidR="002353D3">
              <w:rPr>
                <w:webHidden/>
              </w:rPr>
              <w:fldChar w:fldCharType="end"/>
            </w:r>
          </w:hyperlink>
        </w:p>
        <w:p w14:paraId="027B5BAD" w14:textId="4EBFD3D2" w:rsidR="002353D3" w:rsidRDefault="00B05134">
          <w:pPr>
            <w:pStyle w:val="TOC3"/>
            <w:tabs>
              <w:tab w:val="right" w:leader="dot" w:pos="9628"/>
            </w:tabs>
            <w:rPr>
              <w:rFonts w:eastAsiaTheme="minorEastAsia"/>
              <w:noProof/>
              <w:lang w:eastAsia="en-GB"/>
            </w:rPr>
          </w:pPr>
          <w:hyperlink w:anchor="_Toc78299734" w:history="1">
            <w:r w:rsidR="002353D3" w:rsidRPr="000352DD">
              <w:rPr>
                <w:rStyle w:val="Hyperlink"/>
                <w:noProof/>
              </w:rPr>
              <w:t>Table 4: TRAC income and full economic costs by activity, 2019-20 (UK higher education institutions) (figures in £M)</w:t>
            </w:r>
            <w:r w:rsidR="002353D3">
              <w:rPr>
                <w:noProof/>
                <w:webHidden/>
              </w:rPr>
              <w:tab/>
            </w:r>
            <w:r w:rsidR="002353D3">
              <w:rPr>
                <w:noProof/>
                <w:webHidden/>
              </w:rPr>
              <w:fldChar w:fldCharType="begin"/>
            </w:r>
            <w:r w:rsidR="002353D3">
              <w:rPr>
                <w:noProof/>
                <w:webHidden/>
              </w:rPr>
              <w:instrText xml:space="preserve"> PAGEREF _Toc78299734 \h </w:instrText>
            </w:r>
            <w:r w:rsidR="002353D3">
              <w:rPr>
                <w:noProof/>
                <w:webHidden/>
              </w:rPr>
            </w:r>
            <w:r w:rsidR="002353D3">
              <w:rPr>
                <w:noProof/>
                <w:webHidden/>
              </w:rPr>
              <w:fldChar w:fldCharType="separate"/>
            </w:r>
            <w:r w:rsidR="002353D3">
              <w:rPr>
                <w:noProof/>
                <w:webHidden/>
              </w:rPr>
              <w:t>13</w:t>
            </w:r>
            <w:r w:rsidR="002353D3">
              <w:rPr>
                <w:noProof/>
                <w:webHidden/>
              </w:rPr>
              <w:fldChar w:fldCharType="end"/>
            </w:r>
          </w:hyperlink>
        </w:p>
        <w:p w14:paraId="51789D1D" w14:textId="7A71D109" w:rsidR="002353D3" w:rsidRDefault="00B05134">
          <w:pPr>
            <w:pStyle w:val="TOC3"/>
            <w:tabs>
              <w:tab w:val="right" w:leader="dot" w:pos="9628"/>
            </w:tabs>
            <w:rPr>
              <w:rFonts w:eastAsiaTheme="minorEastAsia"/>
              <w:noProof/>
              <w:lang w:eastAsia="en-GB"/>
            </w:rPr>
          </w:pPr>
          <w:hyperlink w:anchor="_Toc78299735" w:history="1">
            <w:r w:rsidR="002353D3" w:rsidRPr="000352DD">
              <w:rPr>
                <w:rStyle w:val="Hyperlink"/>
                <w:noProof/>
              </w:rPr>
              <w:t>Figure 2: TRAC full economic cost surplus/deficit by activity, 2019-20 (UK higher education institutions)</w:t>
            </w:r>
            <w:r w:rsidR="002353D3">
              <w:rPr>
                <w:noProof/>
                <w:webHidden/>
              </w:rPr>
              <w:tab/>
            </w:r>
            <w:r w:rsidR="002353D3">
              <w:rPr>
                <w:noProof/>
                <w:webHidden/>
              </w:rPr>
              <w:fldChar w:fldCharType="begin"/>
            </w:r>
            <w:r w:rsidR="002353D3">
              <w:rPr>
                <w:noProof/>
                <w:webHidden/>
              </w:rPr>
              <w:instrText xml:space="preserve"> PAGEREF _Toc78299735 \h </w:instrText>
            </w:r>
            <w:r w:rsidR="002353D3">
              <w:rPr>
                <w:noProof/>
                <w:webHidden/>
              </w:rPr>
            </w:r>
            <w:r w:rsidR="002353D3">
              <w:rPr>
                <w:noProof/>
                <w:webHidden/>
              </w:rPr>
              <w:fldChar w:fldCharType="separate"/>
            </w:r>
            <w:r w:rsidR="002353D3">
              <w:rPr>
                <w:noProof/>
                <w:webHidden/>
              </w:rPr>
              <w:t>14</w:t>
            </w:r>
            <w:r w:rsidR="002353D3">
              <w:rPr>
                <w:noProof/>
                <w:webHidden/>
              </w:rPr>
              <w:fldChar w:fldCharType="end"/>
            </w:r>
          </w:hyperlink>
        </w:p>
        <w:p w14:paraId="1B305441" w14:textId="7FC0C233" w:rsidR="002353D3" w:rsidRDefault="00B05134">
          <w:pPr>
            <w:pStyle w:val="TOC3"/>
            <w:tabs>
              <w:tab w:val="right" w:leader="dot" w:pos="9628"/>
            </w:tabs>
            <w:rPr>
              <w:rFonts w:eastAsiaTheme="minorEastAsia"/>
              <w:noProof/>
              <w:lang w:eastAsia="en-GB"/>
            </w:rPr>
          </w:pPr>
          <w:hyperlink w:anchor="_Toc78299736" w:history="1">
            <w:r w:rsidR="002353D3" w:rsidRPr="000352DD">
              <w:rPr>
                <w:rStyle w:val="Hyperlink"/>
                <w:noProof/>
              </w:rPr>
              <w:t>Definitions for Table 4 and Figure 2</w:t>
            </w:r>
            <w:r w:rsidR="002353D3">
              <w:rPr>
                <w:noProof/>
                <w:webHidden/>
              </w:rPr>
              <w:tab/>
            </w:r>
            <w:r w:rsidR="002353D3">
              <w:rPr>
                <w:noProof/>
                <w:webHidden/>
              </w:rPr>
              <w:fldChar w:fldCharType="begin"/>
            </w:r>
            <w:r w:rsidR="002353D3">
              <w:rPr>
                <w:noProof/>
                <w:webHidden/>
              </w:rPr>
              <w:instrText xml:space="preserve"> PAGEREF _Toc78299736 \h </w:instrText>
            </w:r>
            <w:r w:rsidR="002353D3">
              <w:rPr>
                <w:noProof/>
                <w:webHidden/>
              </w:rPr>
            </w:r>
            <w:r w:rsidR="002353D3">
              <w:rPr>
                <w:noProof/>
                <w:webHidden/>
              </w:rPr>
              <w:fldChar w:fldCharType="separate"/>
            </w:r>
            <w:r w:rsidR="002353D3">
              <w:rPr>
                <w:noProof/>
                <w:webHidden/>
              </w:rPr>
              <w:t>15</w:t>
            </w:r>
            <w:r w:rsidR="002353D3">
              <w:rPr>
                <w:noProof/>
                <w:webHidden/>
              </w:rPr>
              <w:fldChar w:fldCharType="end"/>
            </w:r>
          </w:hyperlink>
        </w:p>
        <w:p w14:paraId="281D0F9E" w14:textId="03533E9D" w:rsidR="002353D3" w:rsidRDefault="00B05134">
          <w:pPr>
            <w:pStyle w:val="TOC3"/>
            <w:tabs>
              <w:tab w:val="right" w:leader="dot" w:pos="9628"/>
            </w:tabs>
            <w:rPr>
              <w:rFonts w:eastAsiaTheme="minorEastAsia"/>
              <w:noProof/>
              <w:lang w:eastAsia="en-GB"/>
            </w:rPr>
          </w:pPr>
          <w:hyperlink w:anchor="_Toc78299737" w:history="1">
            <w:r w:rsidR="002353D3" w:rsidRPr="000352DD">
              <w:rPr>
                <w:rStyle w:val="Hyperlink"/>
                <w:noProof/>
              </w:rPr>
              <w:t>Table 5: Research income and costs by sponsor type, 2019-20 (UK higher education institutions) (figures in £M)</w:t>
            </w:r>
            <w:r w:rsidR="002353D3">
              <w:rPr>
                <w:noProof/>
                <w:webHidden/>
              </w:rPr>
              <w:tab/>
            </w:r>
            <w:r w:rsidR="002353D3">
              <w:rPr>
                <w:noProof/>
                <w:webHidden/>
              </w:rPr>
              <w:fldChar w:fldCharType="begin"/>
            </w:r>
            <w:r w:rsidR="002353D3">
              <w:rPr>
                <w:noProof/>
                <w:webHidden/>
              </w:rPr>
              <w:instrText xml:space="preserve"> PAGEREF _Toc78299737 \h </w:instrText>
            </w:r>
            <w:r w:rsidR="002353D3">
              <w:rPr>
                <w:noProof/>
                <w:webHidden/>
              </w:rPr>
            </w:r>
            <w:r w:rsidR="002353D3">
              <w:rPr>
                <w:noProof/>
                <w:webHidden/>
              </w:rPr>
              <w:fldChar w:fldCharType="separate"/>
            </w:r>
            <w:r w:rsidR="002353D3">
              <w:rPr>
                <w:noProof/>
                <w:webHidden/>
              </w:rPr>
              <w:t>16</w:t>
            </w:r>
            <w:r w:rsidR="002353D3">
              <w:rPr>
                <w:noProof/>
                <w:webHidden/>
              </w:rPr>
              <w:fldChar w:fldCharType="end"/>
            </w:r>
          </w:hyperlink>
        </w:p>
        <w:p w14:paraId="7DECD73E" w14:textId="13723A8C" w:rsidR="002353D3" w:rsidRDefault="00B05134">
          <w:pPr>
            <w:pStyle w:val="TOC3"/>
            <w:tabs>
              <w:tab w:val="right" w:leader="dot" w:pos="9628"/>
            </w:tabs>
            <w:rPr>
              <w:rFonts w:eastAsiaTheme="minorEastAsia"/>
              <w:noProof/>
              <w:lang w:eastAsia="en-GB"/>
            </w:rPr>
          </w:pPr>
          <w:hyperlink w:anchor="_Toc78299738" w:history="1">
            <w:r w:rsidR="002353D3" w:rsidRPr="000352DD">
              <w:rPr>
                <w:rStyle w:val="Hyperlink"/>
                <w:noProof/>
              </w:rPr>
              <w:t>Table 6: Derivation of Transparent Approach to Costing (TRAC) full economic costs and TRAC surplus/(deficit), 2019-20 (UK higher education institutions)</w:t>
            </w:r>
            <w:r w:rsidR="002353D3">
              <w:rPr>
                <w:noProof/>
                <w:webHidden/>
              </w:rPr>
              <w:tab/>
            </w:r>
            <w:r w:rsidR="002353D3">
              <w:rPr>
                <w:noProof/>
                <w:webHidden/>
              </w:rPr>
              <w:fldChar w:fldCharType="begin"/>
            </w:r>
            <w:r w:rsidR="002353D3">
              <w:rPr>
                <w:noProof/>
                <w:webHidden/>
              </w:rPr>
              <w:instrText xml:space="preserve"> PAGEREF _Toc78299738 \h </w:instrText>
            </w:r>
            <w:r w:rsidR="002353D3">
              <w:rPr>
                <w:noProof/>
                <w:webHidden/>
              </w:rPr>
            </w:r>
            <w:r w:rsidR="002353D3">
              <w:rPr>
                <w:noProof/>
                <w:webHidden/>
              </w:rPr>
              <w:fldChar w:fldCharType="separate"/>
            </w:r>
            <w:r w:rsidR="002353D3">
              <w:rPr>
                <w:noProof/>
                <w:webHidden/>
              </w:rPr>
              <w:t>18</w:t>
            </w:r>
            <w:r w:rsidR="002353D3">
              <w:rPr>
                <w:noProof/>
                <w:webHidden/>
              </w:rPr>
              <w:fldChar w:fldCharType="end"/>
            </w:r>
          </w:hyperlink>
        </w:p>
        <w:p w14:paraId="020A643B" w14:textId="6BC92400" w:rsidR="002353D3" w:rsidRDefault="00B05134">
          <w:pPr>
            <w:pStyle w:val="TOC1"/>
            <w:rPr>
              <w:rFonts w:eastAsiaTheme="minorEastAsia"/>
              <w:b w:val="0"/>
              <w:lang w:eastAsia="en-GB"/>
            </w:rPr>
          </w:pPr>
          <w:hyperlink w:anchor="_Toc78299739" w:history="1">
            <w:r w:rsidR="002353D3" w:rsidRPr="000352DD">
              <w:rPr>
                <w:rStyle w:val="Hyperlink"/>
              </w:rPr>
              <w:t>Annex C: UK peer group summary 2019-20</w:t>
            </w:r>
            <w:r w:rsidR="002353D3">
              <w:rPr>
                <w:webHidden/>
              </w:rPr>
              <w:tab/>
            </w:r>
            <w:r w:rsidR="002353D3">
              <w:rPr>
                <w:webHidden/>
              </w:rPr>
              <w:fldChar w:fldCharType="begin"/>
            </w:r>
            <w:r w:rsidR="002353D3">
              <w:rPr>
                <w:webHidden/>
              </w:rPr>
              <w:instrText xml:space="preserve"> PAGEREF _Toc78299739 \h </w:instrText>
            </w:r>
            <w:r w:rsidR="002353D3">
              <w:rPr>
                <w:webHidden/>
              </w:rPr>
            </w:r>
            <w:r w:rsidR="002353D3">
              <w:rPr>
                <w:webHidden/>
              </w:rPr>
              <w:fldChar w:fldCharType="separate"/>
            </w:r>
            <w:r w:rsidR="002353D3">
              <w:rPr>
                <w:webHidden/>
              </w:rPr>
              <w:t>19</w:t>
            </w:r>
            <w:r w:rsidR="002353D3">
              <w:rPr>
                <w:webHidden/>
              </w:rPr>
              <w:fldChar w:fldCharType="end"/>
            </w:r>
          </w:hyperlink>
        </w:p>
        <w:p w14:paraId="63B3E4E7" w14:textId="35283F67" w:rsidR="002353D3" w:rsidRDefault="00B05134" w:rsidP="002159C7">
          <w:pPr>
            <w:pStyle w:val="TOC2"/>
            <w:rPr>
              <w:rFonts w:eastAsiaTheme="minorEastAsia"/>
              <w:lang w:eastAsia="en-GB"/>
            </w:rPr>
          </w:pPr>
          <w:hyperlink w:anchor="_Toc78299740" w:history="1">
            <w:r w:rsidR="002353D3" w:rsidRPr="000352DD">
              <w:rPr>
                <w:rStyle w:val="Hyperlink"/>
              </w:rPr>
              <w:t>Analysis by TRAC peer group: methodology</w:t>
            </w:r>
            <w:r w:rsidR="002353D3">
              <w:rPr>
                <w:webHidden/>
              </w:rPr>
              <w:tab/>
            </w:r>
            <w:r w:rsidR="002353D3">
              <w:rPr>
                <w:webHidden/>
              </w:rPr>
              <w:fldChar w:fldCharType="begin"/>
            </w:r>
            <w:r w:rsidR="002353D3">
              <w:rPr>
                <w:webHidden/>
              </w:rPr>
              <w:instrText xml:space="preserve"> PAGEREF _Toc78299740 \h </w:instrText>
            </w:r>
            <w:r w:rsidR="002353D3">
              <w:rPr>
                <w:webHidden/>
              </w:rPr>
            </w:r>
            <w:r w:rsidR="002353D3">
              <w:rPr>
                <w:webHidden/>
              </w:rPr>
              <w:fldChar w:fldCharType="separate"/>
            </w:r>
            <w:r w:rsidR="002353D3">
              <w:rPr>
                <w:webHidden/>
              </w:rPr>
              <w:t>19</w:t>
            </w:r>
            <w:r w:rsidR="002353D3">
              <w:rPr>
                <w:webHidden/>
              </w:rPr>
              <w:fldChar w:fldCharType="end"/>
            </w:r>
          </w:hyperlink>
        </w:p>
        <w:p w14:paraId="50BA4952" w14:textId="64152344" w:rsidR="002353D3" w:rsidRDefault="002353D3">
          <w:r>
            <w:rPr>
              <w:b/>
              <w:bCs/>
              <w:noProof/>
            </w:rPr>
            <w:fldChar w:fldCharType="end"/>
          </w:r>
        </w:p>
      </w:sdtContent>
    </w:sdt>
    <w:p w14:paraId="5C9835E9" w14:textId="77777777" w:rsidR="004C31D6" w:rsidRPr="006F02A4" w:rsidRDefault="004C31D6" w:rsidP="004C31D6"/>
    <w:p w14:paraId="56590449" w14:textId="77777777" w:rsidR="008B0C6B" w:rsidRPr="006F02A4" w:rsidRDefault="008B0C6B">
      <w:r w:rsidRPr="006F02A4">
        <w:br w:type="page"/>
      </w:r>
    </w:p>
    <w:p w14:paraId="1DB1D1F7" w14:textId="77777777" w:rsidR="00A410D7" w:rsidRPr="006F02A4" w:rsidRDefault="00A410D7" w:rsidP="00A410D7">
      <w:pPr>
        <w:pStyle w:val="Headline"/>
      </w:pPr>
      <w:bookmarkStart w:id="0" w:name="_Toc78299724"/>
      <w:r w:rsidRPr="006F02A4">
        <w:lastRenderedPageBreak/>
        <w:t>Background</w:t>
      </w:r>
      <w:bookmarkEnd w:id="0"/>
    </w:p>
    <w:p w14:paraId="49D0B956" w14:textId="5685D209" w:rsidR="00A410D7" w:rsidRPr="006F02A4" w:rsidRDefault="00A410D7" w:rsidP="00A410D7">
      <w:pPr>
        <w:pStyle w:val="Numberedtext1"/>
      </w:pPr>
      <w:r w:rsidRPr="006F02A4">
        <w:t>All UK higher education institutions</w:t>
      </w:r>
      <w:r w:rsidRPr="006F02A4">
        <w:rPr>
          <w:rStyle w:val="FootnoteReference"/>
        </w:rPr>
        <w:footnoteReference w:id="2"/>
      </w:r>
      <w:r w:rsidRPr="006F02A4">
        <w:t> are required to report Transparent Approach to Costing (TRAC) data annually by 31 January each year. </w:t>
      </w:r>
      <w:r w:rsidR="000967A7" w:rsidRPr="006F02A4">
        <w:t xml:space="preserve">Further education colleges and other providers of higher education are not currently required to submit TRAC data. </w:t>
      </w:r>
      <w:r w:rsidRPr="006F02A4">
        <w:t>TRAC data was first collected for academic year 1999-2000. TRAC data for 2019-20 was collected by the Office for Students (</w:t>
      </w:r>
      <w:proofErr w:type="spellStart"/>
      <w:r w:rsidRPr="006F02A4">
        <w:t>OfS</w:t>
      </w:r>
      <w:proofErr w:type="spellEnd"/>
      <w:r w:rsidRPr="006F02A4">
        <w:t xml:space="preserve">) on behalf of UK Research and Innovation, the Scottish Funding Council, the Higher Education Funding Council for </w:t>
      </w:r>
      <w:proofErr w:type="gramStart"/>
      <w:r w:rsidRPr="006F02A4">
        <w:t>Wales</w:t>
      </w:r>
      <w:proofErr w:type="gramEnd"/>
      <w:r w:rsidRPr="006F02A4">
        <w:t xml:space="preserve"> and the Department for the Economy (Northern Ireland) and these bodies are co-owners of the data.</w:t>
      </w:r>
      <w:r w:rsidR="00481682" w:rsidRPr="006F02A4">
        <w:t xml:space="preserve"> </w:t>
      </w:r>
    </w:p>
    <w:p w14:paraId="6762F274" w14:textId="21B25643" w:rsidR="00A410D7" w:rsidRPr="006F02A4" w:rsidRDefault="00A410D7" w:rsidP="00A410D7">
      <w:pPr>
        <w:pStyle w:val="Numberedtext1"/>
      </w:pPr>
      <w:r w:rsidRPr="006F02A4">
        <w:t xml:space="preserve">For 2019-20 TRAC reporting, providers were granted flexibility to submit the </w:t>
      </w:r>
      <w:r w:rsidR="00AE3F30" w:rsidRPr="006F02A4">
        <w:t>a</w:t>
      </w:r>
      <w:r w:rsidRPr="006F02A4">
        <w:t xml:space="preserve">nnual TRAC return on a later </w:t>
      </w:r>
      <w:proofErr w:type="gramStart"/>
      <w:r w:rsidRPr="006F02A4">
        <w:t>timescale</w:t>
      </w:r>
      <w:proofErr w:type="gramEnd"/>
      <w:r w:rsidRPr="006F02A4">
        <w:t xml:space="preserve"> if necessary</w:t>
      </w:r>
      <w:r w:rsidR="0044792D" w:rsidRPr="006F02A4">
        <w:t>,</w:t>
      </w:r>
      <w:r w:rsidRPr="006F02A4">
        <w:t xml:space="preserve"> due to the impact of the COVID-19 pandemic on the operating environment for all providers and the impact on the timing for submission of audited financial statements and the Annual Financ</w:t>
      </w:r>
      <w:r w:rsidR="009B3E3A" w:rsidRPr="006F02A4">
        <w:t>ial</w:t>
      </w:r>
      <w:r w:rsidRPr="006F02A4">
        <w:t xml:space="preserve"> Return for providers in England, and the HESA Finance Return for institutions in Northern Ireland, Scotland and Wales. The deadline for all providers to submit and sign</w:t>
      </w:r>
      <w:r w:rsidR="0044792D" w:rsidRPr="006F02A4">
        <w:t xml:space="preserve"> </w:t>
      </w:r>
      <w:r w:rsidRPr="006F02A4">
        <w:t>off</w:t>
      </w:r>
      <w:r w:rsidRPr="006F02A4" w:rsidDel="00A10ABB">
        <w:t xml:space="preserve"> </w:t>
      </w:r>
      <w:r w:rsidRPr="006F02A4">
        <w:t xml:space="preserve">the TRAC return by the Accountable Officer was 31 March 2021. </w:t>
      </w:r>
      <w:proofErr w:type="gramStart"/>
      <w:r w:rsidRPr="006F02A4">
        <w:t>The majority of</w:t>
      </w:r>
      <w:proofErr w:type="gramEnd"/>
      <w:r w:rsidRPr="006F02A4">
        <w:t xml:space="preserve"> providers were able to submit and sign</w:t>
      </w:r>
      <w:r w:rsidR="00A10ABB" w:rsidRPr="006F02A4">
        <w:t xml:space="preserve"> </w:t>
      </w:r>
      <w:r w:rsidRPr="006F02A4">
        <w:t>off the TRAC return by this deadline, but some required extensions beyond this date to complete the process</w:t>
      </w:r>
      <w:r w:rsidR="007658A5" w:rsidRPr="006F02A4">
        <w:t>.</w:t>
      </w:r>
      <w:r w:rsidRPr="006F02A4">
        <w:t xml:space="preserve">, </w:t>
      </w:r>
    </w:p>
    <w:p w14:paraId="59FC40A7" w14:textId="3098DCBB" w:rsidR="00A410D7" w:rsidRPr="006F02A4" w:rsidRDefault="00A410D7" w:rsidP="00A410D7">
      <w:pPr>
        <w:pStyle w:val="Numberedtext1"/>
      </w:pPr>
      <w:r w:rsidRPr="006F02A4">
        <w:t>The TRAC guidance for 2019-20 reporting (version 2.5)</w:t>
      </w:r>
      <w:r w:rsidRPr="006F02A4">
        <w:rPr>
          <w:rStyle w:val="FootnoteReference"/>
        </w:rPr>
        <w:footnoteReference w:id="3"/>
      </w:r>
      <w:r w:rsidRPr="006F02A4">
        <w:t xml:space="preserve"> included an additional </w:t>
      </w:r>
      <w:r w:rsidR="00820A05" w:rsidRPr="006F02A4">
        <w:t>a</w:t>
      </w:r>
      <w:r w:rsidRPr="006F02A4">
        <w:t>nnex (1.1b) covering COVID-19 supplementary TRAC guidance</w:t>
      </w:r>
      <w:r w:rsidR="00820A05" w:rsidRPr="006F02A4">
        <w:t>. This</w:t>
      </w:r>
      <w:r w:rsidRPr="006F02A4">
        <w:t xml:space="preserve"> address</w:t>
      </w:r>
      <w:r w:rsidR="00820A05" w:rsidRPr="006F02A4">
        <w:t>ed</w:t>
      </w:r>
      <w:r w:rsidRPr="006F02A4">
        <w:t xml:space="preserve"> adjustments required or permitted in relation to reporting of activities, costs and income for the period affected by the COVID-19 operational disruptions. </w:t>
      </w:r>
      <w:proofErr w:type="gramStart"/>
      <w:r w:rsidRPr="006F02A4">
        <w:t xml:space="preserve">In particular, </w:t>
      </w:r>
      <w:r w:rsidR="003A7DA1" w:rsidRPr="006F02A4">
        <w:t>it</w:t>
      </w:r>
      <w:proofErr w:type="gramEnd"/>
      <w:r w:rsidRPr="006F02A4">
        <w:t xml:space="preserve"> included guidance on the impact on the activities of academic staff during the period affected by the COVID-19 pandemic lockdown in the UK (March </w:t>
      </w:r>
      <w:r w:rsidR="003A7DA1" w:rsidRPr="006F02A4">
        <w:t>to</w:t>
      </w:r>
      <w:r w:rsidRPr="006F02A4">
        <w:t xml:space="preserve"> July 2020), and definitions and approaches for estimating and reporting the impacts within the TRAC return for 2019-20.</w:t>
      </w:r>
    </w:p>
    <w:p w14:paraId="13E2859C" w14:textId="68F9F61F" w:rsidR="0010422F" w:rsidRPr="006F02A4" w:rsidRDefault="0010422F" w:rsidP="00641F10">
      <w:pPr>
        <w:pStyle w:val="Numberedtext1"/>
      </w:pPr>
      <w:r w:rsidRPr="006F02A4">
        <w:t xml:space="preserve">We intend to release – as an ad hoc experimental official statistic – a summary of some additional contextual information collected within the TRAC return for 2019-20. This is to aid the interpretation of the TRAC data for 2019-20 and to estimate the impact of the COVID-19 pandemic on the operations of higher education providers in the period from March to July 2020. The summary will look at the estimated impact on changes to academic staff activities and estimated impact on the academic staff costs included in the TRAC full economic costs reported for 2019-20. We intend to publish this </w:t>
      </w:r>
      <w:r w:rsidR="00B30FB1" w:rsidRPr="006F02A4">
        <w:t>shortly</w:t>
      </w:r>
      <w:r w:rsidRPr="006F02A4">
        <w:t>.</w:t>
      </w:r>
      <w:r w:rsidRPr="006F02A4" w:rsidDel="00A93F66">
        <w:t xml:space="preserve"> </w:t>
      </w:r>
    </w:p>
    <w:p w14:paraId="3D4931D1" w14:textId="3866B3E5" w:rsidR="00A410D7" w:rsidRPr="006F02A4" w:rsidRDefault="00A410D7" w:rsidP="00A410D7">
      <w:pPr>
        <w:pStyle w:val="Numberedtext1"/>
      </w:pPr>
      <w:r w:rsidRPr="006F02A4">
        <w:t xml:space="preserve">2019-20 is the fourth year in which TRAC reporting has been prepared under the new Higher Education Statement of Recommended Practice, applying Financial Reporting Standard (FRS) 102. This reporting standard introduced some significant changes in the way financial performance is reported, making comparison difficult between the latest results and historical TRAC data prior to 2015-16, as well as resulting in potentially greater variability in income between years. The changes lead to earlier recognition of income from new donations, </w:t>
      </w:r>
      <w:r w:rsidRPr="006F02A4">
        <w:lastRenderedPageBreak/>
        <w:t>endowments (in full in the year of receipt) and new capital grants (often in full in the year of receipt</w:t>
      </w:r>
      <w:r w:rsidR="003A7DA1" w:rsidRPr="006F02A4">
        <w:t>,</w:t>
      </w:r>
      <w:r w:rsidRPr="006F02A4">
        <w:t> except where the accruals method is used for accounting for government capital grants), which may be ahead of the expenditure which they support. Further, in 2016-17, there was a change in the method for calculating the sustainability adjustment with the ‘Margin for sustainability and investment’ (MSI) replacing the previous method. Data for 2016-17 therefore formed the baseline for the start of a new time series of TRAC data. Analys</w:t>
      </w:r>
      <w:r w:rsidR="001339C5" w:rsidRPr="006F02A4">
        <w:t>e</w:t>
      </w:r>
      <w:r w:rsidRPr="006F02A4">
        <w:t>s of the annual TRAC data for </w:t>
      </w:r>
      <w:r w:rsidR="006E79C1" w:rsidRPr="006F02A4">
        <w:t>2016-17</w:t>
      </w:r>
      <w:r w:rsidR="008E55A1" w:rsidRPr="006F02A4">
        <w:rPr>
          <w:rStyle w:val="FootnoteReference"/>
        </w:rPr>
        <w:footnoteReference w:id="4"/>
      </w:r>
      <w:r w:rsidR="006E79C1" w:rsidRPr="006F02A4">
        <w:t>, 2017-18</w:t>
      </w:r>
      <w:r w:rsidR="008E55A1" w:rsidRPr="006F02A4">
        <w:rPr>
          <w:rStyle w:val="FootnoteReference"/>
        </w:rPr>
        <w:footnoteReference w:id="5"/>
      </w:r>
      <w:r w:rsidR="006E79C1" w:rsidRPr="006F02A4">
        <w:t xml:space="preserve"> and </w:t>
      </w:r>
      <w:r w:rsidRPr="006F02A4">
        <w:t>2018-19</w:t>
      </w:r>
      <w:r w:rsidR="00695419" w:rsidRPr="006F02A4">
        <w:rPr>
          <w:rStyle w:val="FootnoteReference"/>
        </w:rPr>
        <w:footnoteReference w:id="6"/>
      </w:r>
      <w:r w:rsidRPr="006F02A4">
        <w:t xml:space="preserve"> </w:t>
      </w:r>
      <w:r w:rsidR="008E55A1" w:rsidRPr="006F02A4">
        <w:t xml:space="preserve">are available on the </w:t>
      </w:r>
      <w:proofErr w:type="spellStart"/>
      <w:r w:rsidR="008E55A1" w:rsidRPr="006F02A4">
        <w:t>OfS</w:t>
      </w:r>
      <w:proofErr w:type="spellEnd"/>
      <w:r w:rsidR="008E55A1" w:rsidRPr="006F02A4">
        <w:t xml:space="preserve"> website.</w:t>
      </w:r>
      <w:r w:rsidR="00481682" w:rsidRPr="006F02A4">
        <w:t xml:space="preserve"> </w:t>
      </w:r>
    </w:p>
    <w:p w14:paraId="3C08EF06" w14:textId="3C9B164E" w:rsidR="00A410D7" w:rsidRPr="006F02A4" w:rsidRDefault="00A410D7" w:rsidP="00A410D7">
      <w:pPr>
        <w:pStyle w:val="Numberedtext1"/>
      </w:pPr>
      <w:r w:rsidRPr="006F02A4">
        <w:t>This paper contains analysis of the 2019-20 sector aggregate data based on submissions from 13</w:t>
      </w:r>
      <w:r w:rsidR="00EE5698" w:rsidRPr="006F02A4">
        <w:t>3</w:t>
      </w:r>
      <w:r w:rsidRPr="006F02A4">
        <w:t> higher education institutions in England and Northern Ireland.</w:t>
      </w:r>
      <w:r w:rsidRPr="006F02A4">
        <w:rPr>
          <w:rStyle w:val="FootnoteReference"/>
        </w:rPr>
        <w:footnoteReference w:id="7"/>
      </w:r>
      <w:r w:rsidRPr="006F02A4">
        <w:t> Aggregated data for 16</w:t>
      </w:r>
      <w:r w:rsidR="00751AD2" w:rsidRPr="006F02A4">
        <w:t>0</w:t>
      </w:r>
      <w:r w:rsidRPr="006F02A4">
        <w:t> UK higher education institutions is provided in Annex B. </w:t>
      </w:r>
      <w:r w:rsidR="00751AD2" w:rsidRPr="006F02A4">
        <w:t>Data</w:t>
      </w:r>
      <w:r w:rsidR="00585ECA" w:rsidRPr="006F02A4">
        <w:t xml:space="preserve"> was collected</w:t>
      </w:r>
      <w:r w:rsidR="00751AD2" w:rsidRPr="006F02A4">
        <w:t xml:space="preserve"> f</w:t>
      </w:r>
      <w:r w:rsidR="0002348F" w:rsidRPr="006F02A4">
        <w:t>rom</w:t>
      </w:r>
      <w:r w:rsidR="00763899" w:rsidRPr="006F02A4">
        <w:t xml:space="preserve"> a fur</w:t>
      </w:r>
      <w:r w:rsidR="008E4AFD" w:rsidRPr="006F02A4">
        <w:t>ther</w:t>
      </w:r>
      <w:r w:rsidR="0002348F" w:rsidRPr="006F02A4">
        <w:t xml:space="preserve"> two providers </w:t>
      </w:r>
      <w:r w:rsidR="00C93572" w:rsidRPr="006F02A4">
        <w:t xml:space="preserve">in </w:t>
      </w:r>
      <w:proofErr w:type="gramStart"/>
      <w:r w:rsidR="00C93572" w:rsidRPr="006F02A4">
        <w:t>England</w:t>
      </w:r>
      <w:r w:rsidR="0065375F" w:rsidRPr="006F02A4">
        <w:t>, but</w:t>
      </w:r>
      <w:proofErr w:type="gramEnd"/>
      <w:r w:rsidR="00C93572" w:rsidRPr="006F02A4">
        <w:t xml:space="preserve"> </w:t>
      </w:r>
      <w:r w:rsidR="0002348F" w:rsidRPr="006F02A4">
        <w:t xml:space="preserve">has been excluded </w:t>
      </w:r>
      <w:r w:rsidR="004921CF" w:rsidRPr="006F02A4">
        <w:t>from this analysis.</w:t>
      </w:r>
    </w:p>
    <w:p w14:paraId="0702CCFB" w14:textId="77777777" w:rsidR="00A410D7" w:rsidRPr="006F02A4" w:rsidRDefault="00A410D7" w:rsidP="00A410D7">
      <w:pPr>
        <w:pStyle w:val="Numberedtext1"/>
      </w:pPr>
      <w:r w:rsidRPr="006F02A4">
        <w:t>This paper also contains annual TRAC data for 2019-20 analysed by TRAC peer group (Annex C and Excel workbook</w:t>
      </w:r>
      <w:r w:rsidRPr="006F02A4">
        <w:rPr>
          <w:rStyle w:val="FootnoteReference"/>
        </w:rPr>
        <w:footnoteReference w:id="8"/>
      </w:r>
      <w:r w:rsidRPr="006F02A4">
        <w:t>). </w:t>
      </w:r>
    </w:p>
    <w:p w14:paraId="3C90E4BF" w14:textId="3D040F7D" w:rsidR="00A410D7" w:rsidRPr="006F02A4" w:rsidRDefault="00A410D7" w:rsidP="00C9761D">
      <w:pPr>
        <w:pStyle w:val="Heading2"/>
        <w:rPr>
          <w:rStyle w:val="normaltextrun"/>
        </w:rPr>
      </w:pPr>
      <w:bookmarkStart w:id="1" w:name="_Toc78299725"/>
      <w:r w:rsidRPr="006F02A4">
        <w:rPr>
          <w:rStyle w:val="normaltextrun"/>
        </w:rPr>
        <w:t>Contact</w:t>
      </w:r>
      <w:bookmarkEnd w:id="1"/>
      <w:r w:rsidRPr="006F02A4">
        <w:rPr>
          <w:rStyle w:val="eop"/>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554"/>
        <w:tblLook w:val="04A0" w:firstRow="1" w:lastRow="0" w:firstColumn="1" w:lastColumn="0" w:noHBand="0" w:noVBand="1"/>
      </w:tblPr>
      <w:tblGrid>
        <w:gridCol w:w="9628"/>
      </w:tblGrid>
      <w:tr w:rsidR="00A410D7" w:rsidRPr="006F02A4" w14:paraId="401CFF4F" w14:textId="77777777" w:rsidTr="00E33E0E">
        <w:tc>
          <w:tcPr>
            <w:tcW w:w="9628" w:type="dxa"/>
            <w:shd w:val="clear" w:color="auto" w:fill="002554"/>
          </w:tcPr>
          <w:p w14:paraId="1DA4389F" w14:textId="49C53427" w:rsidR="00A410D7" w:rsidRPr="006F02A4" w:rsidRDefault="00A410D7" w:rsidP="00E33E0E">
            <w:pPr>
              <w:spacing w:before="120" w:after="240" w:line="300" w:lineRule="atLeast"/>
              <w:ind w:left="170" w:right="170"/>
            </w:pPr>
            <w:r w:rsidRPr="006F02A4">
              <w:t>For enquiries regarding the TRAC data</w:t>
            </w:r>
            <w:r w:rsidR="004D63A9" w:rsidRPr="006F02A4">
              <w:t>,</w:t>
            </w:r>
            <w:r w:rsidRPr="006F02A4">
              <w:t xml:space="preserve"> please contact Heather Williams, Principal Analyst (Costing), email </w:t>
            </w:r>
            <w:hyperlink r:id="rId15" w:history="1">
              <w:r w:rsidRPr="00E10AC8">
                <w:rPr>
                  <w:rStyle w:val="Hyperlink"/>
                  <w:color w:val="FFFFFF" w:themeColor="background1"/>
                </w:rPr>
                <w:t>trac@officeforstudents.org.uk</w:t>
              </w:r>
            </w:hyperlink>
            <w:r w:rsidRPr="006F02A4">
              <w:t>.</w:t>
            </w:r>
          </w:p>
        </w:tc>
      </w:tr>
    </w:tbl>
    <w:p w14:paraId="337B417B" w14:textId="77777777" w:rsidR="00A410D7" w:rsidRPr="006F02A4" w:rsidRDefault="00A410D7" w:rsidP="00A410D7">
      <w:pPr>
        <w:pStyle w:val="paragraph"/>
        <w:spacing w:before="0" w:beforeAutospacing="0" w:after="0" w:afterAutospacing="0"/>
        <w:ind w:left="165" w:right="165"/>
        <w:textAlignment w:val="baseline"/>
        <w:rPr>
          <w:rStyle w:val="normaltextrun"/>
          <w:rFonts w:ascii="Arial" w:hAnsi="Arial" w:cs="Arial"/>
          <w:sz w:val="22"/>
          <w:szCs w:val="22"/>
        </w:rPr>
      </w:pPr>
    </w:p>
    <w:p w14:paraId="55B5402C" w14:textId="738B874D" w:rsidR="003528BB" w:rsidRPr="006F02A4" w:rsidRDefault="003528BB" w:rsidP="008B0C6B"/>
    <w:p w14:paraId="45B48A9B" w14:textId="77777777" w:rsidR="00BA4D3D" w:rsidRPr="006F02A4" w:rsidRDefault="00BA4D3D" w:rsidP="008B0C6B">
      <w:pPr>
        <w:sectPr w:rsidR="00BA4D3D" w:rsidRPr="006F02A4" w:rsidSect="0013346D">
          <w:headerReference w:type="first" r:id="rId16"/>
          <w:footerReference w:type="first" r:id="rId17"/>
          <w:pgSz w:w="11906" w:h="16838" w:code="9"/>
          <w:pgMar w:top="1134" w:right="1134" w:bottom="1134" w:left="1134" w:header="340" w:footer="454" w:gutter="0"/>
          <w:pgNumType w:start="1"/>
          <w:cols w:space="708"/>
          <w:titlePg/>
          <w:docGrid w:linePitch="360"/>
        </w:sectPr>
      </w:pPr>
    </w:p>
    <w:p w14:paraId="0EF9EE82" w14:textId="77777777" w:rsidR="002E60FA" w:rsidRPr="006F02A4" w:rsidRDefault="002E60FA" w:rsidP="002E60FA">
      <w:pPr>
        <w:pStyle w:val="Heading1"/>
      </w:pPr>
      <w:bookmarkStart w:id="2" w:name="_Toc78299726"/>
      <w:r w:rsidRPr="006F02A4">
        <w:rPr>
          <w:rStyle w:val="normaltextrun"/>
        </w:rPr>
        <w:lastRenderedPageBreak/>
        <w:t>Key points</w:t>
      </w:r>
      <w:bookmarkEnd w:id="2"/>
      <w:r w:rsidRPr="006F02A4">
        <w:rPr>
          <w:rStyle w:val="eop"/>
        </w:rPr>
        <w:t> </w:t>
      </w:r>
    </w:p>
    <w:p w14:paraId="253FB6FD" w14:textId="3C55A08E" w:rsidR="002E60FA" w:rsidRPr="006F02A4" w:rsidRDefault="002E60FA" w:rsidP="002E60FA">
      <w:pPr>
        <w:pStyle w:val="Numberedtext1"/>
      </w:pPr>
      <w:r w:rsidRPr="006F02A4">
        <w:t>The annual TRAC return for</w:t>
      </w:r>
      <w:r w:rsidR="00481682" w:rsidRPr="006F02A4">
        <w:t xml:space="preserve"> </w:t>
      </w:r>
      <w:r w:rsidRPr="006F02A4">
        <w:t>2019-20 shows a sector aggregate deficit of £2,8</w:t>
      </w:r>
      <w:r w:rsidR="00E678C9" w:rsidRPr="006F02A4">
        <w:t>3</w:t>
      </w:r>
      <w:r w:rsidRPr="006F02A4">
        <w:t>3 million for higher education institutions in England and Northern Ireland, with 92.5 per cent of TRAC full economic costs recovered</w:t>
      </w:r>
      <w:r w:rsidR="00481682" w:rsidRPr="006F02A4">
        <w:t>.</w:t>
      </w:r>
      <w:r w:rsidRPr="006F02A4">
        <w:rPr>
          <w:rStyle w:val="FootnoteReference"/>
        </w:rPr>
        <w:footnoteReference w:id="9"/>
      </w:r>
      <w:r w:rsidR="00481682" w:rsidRPr="006F02A4">
        <w:t xml:space="preserve"> </w:t>
      </w:r>
      <w:r w:rsidRPr="006F02A4">
        <w:t>This compares with a deficit of £1,4</w:t>
      </w:r>
      <w:r w:rsidR="007C4EE3" w:rsidRPr="006F02A4">
        <w:t>27</w:t>
      </w:r>
      <w:r w:rsidRPr="006F02A4">
        <w:t xml:space="preserve"> million and a recovery of 96.1 per cent in 2018-19</w:t>
      </w:r>
      <w:r w:rsidR="003B2E21">
        <w:t>.</w:t>
      </w:r>
      <w:r w:rsidR="00B644F3" w:rsidRPr="006F02A4">
        <w:rPr>
          <w:rStyle w:val="FootnoteReference"/>
        </w:rPr>
        <w:footnoteReference w:id="10"/>
      </w:r>
      <w:r w:rsidR="00481682" w:rsidRPr="006F02A4">
        <w:t xml:space="preserve"> </w:t>
      </w:r>
      <w:r w:rsidRPr="006F02A4">
        <w:t xml:space="preserve">This excess of costs over income is consistent with </w:t>
      </w:r>
      <w:r w:rsidR="00481682" w:rsidRPr="006F02A4">
        <w:t xml:space="preserve">the </w:t>
      </w:r>
      <w:r w:rsidRPr="006F02A4">
        <w:t>previous year, but for 2019-20 the impact of the COVID</w:t>
      </w:r>
      <w:r w:rsidR="00481682" w:rsidRPr="006F02A4">
        <w:t>-</w:t>
      </w:r>
      <w:r w:rsidRPr="006F02A4">
        <w:t>19 pandemic has been an additional factor affecting both income and costs, with total income showing a small reduction of £</w:t>
      </w:r>
      <w:r w:rsidR="003E338D" w:rsidRPr="006F02A4">
        <w:t>164</w:t>
      </w:r>
      <w:r w:rsidR="00481682" w:rsidRPr="006F02A4">
        <w:t xml:space="preserve"> million</w:t>
      </w:r>
      <w:r w:rsidRPr="006F02A4">
        <w:t xml:space="preserve"> to £35,</w:t>
      </w:r>
      <w:r w:rsidR="00334A2A" w:rsidRPr="006F02A4">
        <w:t>142</w:t>
      </w:r>
      <w:r w:rsidR="00481682" w:rsidRPr="006F02A4">
        <w:t xml:space="preserve"> million</w:t>
      </w:r>
      <w:r w:rsidRPr="006F02A4">
        <w:t xml:space="preserve"> compared with an increase of 5.5 per cent in 2018-19.</w:t>
      </w:r>
      <w:r w:rsidR="00481682" w:rsidRPr="006F02A4">
        <w:t xml:space="preserve"> </w:t>
      </w:r>
      <w:r w:rsidRPr="006F02A4">
        <w:t>The full economic cost of all activities increased by £</w:t>
      </w:r>
      <w:r w:rsidRPr="006F02A4" w:rsidDel="00390E15">
        <w:t>1,</w:t>
      </w:r>
      <w:r w:rsidR="001E19D9" w:rsidRPr="006F02A4">
        <w:t>242</w:t>
      </w:r>
      <w:r w:rsidR="00481682" w:rsidRPr="006F02A4">
        <w:t xml:space="preserve"> million</w:t>
      </w:r>
      <w:r w:rsidRPr="006F02A4">
        <w:t xml:space="preserve"> to £3</w:t>
      </w:r>
      <w:r w:rsidR="003609D0" w:rsidRPr="006F02A4">
        <w:t>7</w:t>
      </w:r>
      <w:r w:rsidRPr="006F02A4">
        <w:t>,</w:t>
      </w:r>
      <w:r w:rsidR="003609D0" w:rsidRPr="006F02A4">
        <w:t>975</w:t>
      </w:r>
      <w:r w:rsidR="00481682" w:rsidRPr="006F02A4">
        <w:t xml:space="preserve"> million</w:t>
      </w:r>
      <w:r w:rsidRPr="006F02A4">
        <w:t xml:space="preserve"> – an increase of</w:t>
      </w:r>
      <w:r w:rsidR="00481682" w:rsidRPr="006F02A4">
        <w:t xml:space="preserve"> </w:t>
      </w:r>
      <w:r w:rsidR="00390E15" w:rsidRPr="006F02A4">
        <w:t>3.4</w:t>
      </w:r>
      <w:r w:rsidR="00481682" w:rsidRPr="006F02A4">
        <w:t xml:space="preserve"> </w:t>
      </w:r>
      <w:r w:rsidRPr="006F02A4">
        <w:t>per cent.</w:t>
      </w:r>
    </w:p>
    <w:p w14:paraId="185BBF82" w14:textId="77777777" w:rsidR="002E60FA" w:rsidRPr="006F02A4" w:rsidRDefault="002E60FA" w:rsidP="002E60FA">
      <w:pPr>
        <w:pStyle w:val="Numberedtext1"/>
      </w:pPr>
      <w:r w:rsidRPr="006F02A4">
        <w:t>This change in full economic costs comprises:</w:t>
      </w:r>
    </w:p>
    <w:p w14:paraId="12CEAF87" w14:textId="036C4F6D" w:rsidR="002E60FA" w:rsidRPr="006F02A4" w:rsidRDefault="002E60FA" w:rsidP="008766EE">
      <w:pPr>
        <w:pStyle w:val="Numberedtext1"/>
        <w:numPr>
          <w:ilvl w:val="0"/>
          <w:numId w:val="19"/>
        </w:numPr>
        <w:ind w:left="714" w:hanging="357"/>
      </w:pPr>
      <w:r w:rsidRPr="006F02A4">
        <w:t>Staff cost decreases of £5,</w:t>
      </w:r>
      <w:r w:rsidR="00275EDC" w:rsidRPr="006F02A4">
        <w:t>389</w:t>
      </w:r>
      <w:r w:rsidRPr="006F02A4">
        <w:t xml:space="preserve"> million (a decrease of</w:t>
      </w:r>
      <w:r w:rsidR="00481682" w:rsidRPr="006F02A4">
        <w:t xml:space="preserve"> </w:t>
      </w:r>
      <w:r w:rsidRPr="006F02A4">
        <w:t xml:space="preserve">24.6 per cent) as reported in </w:t>
      </w:r>
      <w:r w:rsidR="00481682" w:rsidRPr="006F02A4">
        <w:t>higher education</w:t>
      </w:r>
      <w:r w:rsidRPr="006F02A4">
        <w:t xml:space="preserve"> providers’ Finance Return</w:t>
      </w:r>
      <w:r w:rsidR="00481682" w:rsidRPr="006F02A4">
        <w:t xml:space="preserve"> </w:t>
      </w:r>
      <w:r w:rsidR="00014971" w:rsidRPr="006F02A4">
        <w:t>and</w:t>
      </w:r>
      <w:r w:rsidRPr="006F02A4">
        <w:t xml:space="preserve"> audited financial statements. This decline wa</w:t>
      </w:r>
      <w:r w:rsidR="00470A7C" w:rsidRPr="006F02A4">
        <w:t>s</w:t>
      </w:r>
      <w:r w:rsidRPr="006F02A4">
        <w:t xml:space="preserve"> largely due to </w:t>
      </w:r>
      <w:r w:rsidRPr="006F02A4" w:rsidDel="00481682">
        <w:t>an</w:t>
      </w:r>
      <w:r w:rsidRPr="006F02A4">
        <w:t xml:space="preserve"> exceptional, non-cash accounting expense of £4,1</w:t>
      </w:r>
      <w:r w:rsidR="00897967" w:rsidRPr="006F02A4">
        <w:t>16</w:t>
      </w:r>
      <w:r w:rsidRPr="006F02A4">
        <w:t xml:space="preserve"> million recorded in 2018</w:t>
      </w:r>
      <w:r w:rsidRPr="006F02A4">
        <w:noBreakHyphen/>
        <w:t>19 to reflect the increase to the deficit contributions that employers made to pension schemes, most substantially the Universities Superannuation Scheme (USS) following the finalisation of the 2017 USS valuation. When removing changes to pension provision to staff costs</w:t>
      </w:r>
      <w:r w:rsidR="008766EE" w:rsidRPr="006F02A4">
        <w:t>,</w:t>
      </w:r>
      <w:r w:rsidRPr="006F02A4">
        <w:t xml:space="preserve"> as reported in the financial statements and </w:t>
      </w:r>
      <w:proofErr w:type="spellStart"/>
      <w:r w:rsidRPr="006F02A4">
        <w:t>OfS</w:t>
      </w:r>
      <w:proofErr w:type="spellEnd"/>
      <w:r w:rsidRPr="006F02A4">
        <w:t xml:space="preserve"> </w:t>
      </w:r>
      <w:r w:rsidR="00F12412" w:rsidRPr="006F02A4">
        <w:t xml:space="preserve">Annual </w:t>
      </w:r>
      <w:r w:rsidRPr="006F02A4">
        <w:t>Financ</w:t>
      </w:r>
      <w:r w:rsidR="00F12412" w:rsidRPr="006F02A4">
        <w:t>ial</w:t>
      </w:r>
      <w:r w:rsidRPr="006F02A4">
        <w:t xml:space="preserve"> Return</w:t>
      </w:r>
      <w:r w:rsidR="00481682" w:rsidRPr="006F02A4">
        <w:t xml:space="preserve"> </w:t>
      </w:r>
      <w:r w:rsidR="009A7A46" w:rsidRPr="006F02A4">
        <w:t xml:space="preserve">and </w:t>
      </w:r>
      <w:r w:rsidRPr="006F02A4">
        <w:t>HESA Finance Return</w:t>
      </w:r>
      <w:r w:rsidR="00A966EC" w:rsidRPr="006F02A4">
        <w:t xml:space="preserve"> (for institutions in Northern Ireland)</w:t>
      </w:r>
      <w:r w:rsidR="00481682" w:rsidRPr="006F02A4">
        <w:t>,</w:t>
      </w:r>
      <w:r w:rsidRPr="006F02A4">
        <w:t xml:space="preserve"> the underlying increase in staff costs between 2018</w:t>
      </w:r>
      <w:r w:rsidR="0024033B" w:rsidRPr="006F02A4">
        <w:t>-</w:t>
      </w:r>
      <w:r w:rsidRPr="006F02A4">
        <w:t xml:space="preserve">19 to 2019-20 was 5.9 per cent. </w:t>
      </w:r>
      <w:r w:rsidR="00D57195" w:rsidRPr="006F02A4">
        <w:t xml:space="preserve">As this </w:t>
      </w:r>
      <w:r w:rsidR="000F25F0" w:rsidRPr="006F02A4">
        <w:t>accounting adjustment is not reflective of annual operating costs</w:t>
      </w:r>
      <w:r w:rsidR="00C12FB5" w:rsidRPr="006F02A4">
        <w:t xml:space="preserve">, </w:t>
      </w:r>
      <w:r w:rsidRPr="006F02A4">
        <w:t xml:space="preserve">the TRAC methodology makes adjustment for the distortion caused by the impact of the accounting for the USS deficit recovery plan, replacing the financial accounting charges with the annual cash contributions </w:t>
      </w:r>
      <w:r w:rsidR="00481682" w:rsidRPr="006F02A4">
        <w:t>(</w:t>
      </w:r>
      <w:r w:rsidRPr="006F02A4">
        <w:t>which include deficit contributions).</w:t>
      </w:r>
      <w:r w:rsidRPr="006F02A4">
        <w:rPr>
          <w:rStyle w:val="FootnoteReference"/>
        </w:rPr>
        <w:footnoteReference w:id="11"/>
      </w:r>
      <w:r w:rsidR="00481682" w:rsidRPr="006F02A4">
        <w:t xml:space="preserve"> </w:t>
      </w:r>
      <w:r w:rsidRPr="006F02A4">
        <w:t>In 2018-19 the net USS pension adjustment included in TRAC was a net deduction of £3,8</w:t>
      </w:r>
      <w:r w:rsidR="003F7A1E" w:rsidRPr="006F02A4">
        <w:t>23</w:t>
      </w:r>
      <w:r w:rsidRPr="006F02A4">
        <w:t xml:space="preserve"> million.</w:t>
      </w:r>
      <w:r w:rsidR="00481682" w:rsidRPr="006F02A4">
        <w:t xml:space="preserve"> </w:t>
      </w:r>
      <w:r w:rsidRPr="006F02A4">
        <w:t>In 2019-20 the unwinding of USS pension provision and replacement with annual cash contributions resulted in a net USS pension adjustment addition of £2,6</w:t>
      </w:r>
      <w:r w:rsidR="00391F07" w:rsidRPr="006F02A4">
        <w:t>0</w:t>
      </w:r>
      <w:r w:rsidR="00B70F8D" w:rsidRPr="006F02A4">
        <w:t>5</w:t>
      </w:r>
      <w:r w:rsidRPr="006F02A4">
        <w:t xml:space="preserve"> million. </w:t>
      </w:r>
    </w:p>
    <w:p w14:paraId="686FF7D5" w14:textId="71A7EFC6" w:rsidR="00D03819" w:rsidRPr="006F02A4" w:rsidRDefault="002E60FA" w:rsidP="008766EE">
      <w:pPr>
        <w:pStyle w:val="Numberedtext1"/>
        <w:numPr>
          <w:ilvl w:val="0"/>
          <w:numId w:val="19"/>
        </w:numPr>
        <w:ind w:left="714" w:hanging="357"/>
      </w:pPr>
      <w:r w:rsidRPr="006F02A4">
        <w:t>Other operating cost decreases of £233 million (-1.9 per cent) and an increase in depreciation of £9</w:t>
      </w:r>
      <w:r w:rsidR="00886156" w:rsidRPr="006F02A4">
        <w:t>0</w:t>
      </w:r>
      <w:r w:rsidRPr="006F02A4">
        <w:t xml:space="preserve"> million (4.0 per cent).</w:t>
      </w:r>
      <w:r w:rsidRPr="006F02A4">
        <w:rPr>
          <w:rFonts w:ascii="Times New Roman" w:eastAsia="Times New Roman" w:hAnsi="Times New Roman" w:cs="Times New Roman"/>
          <w:sz w:val="24"/>
          <w:szCs w:val="24"/>
          <w:lang w:eastAsia="en-GB"/>
        </w:rPr>
        <w:t xml:space="preserve"> </w:t>
      </w:r>
    </w:p>
    <w:p w14:paraId="585CB863" w14:textId="6D2FB1E1" w:rsidR="005F3459" w:rsidRPr="006F02A4" w:rsidRDefault="002E60FA" w:rsidP="008766EE">
      <w:pPr>
        <w:pStyle w:val="Numberedtext1"/>
        <w:numPr>
          <w:ilvl w:val="0"/>
          <w:numId w:val="19"/>
        </w:numPr>
        <w:ind w:left="714" w:hanging="357"/>
      </w:pPr>
      <w:r w:rsidRPr="006F02A4">
        <w:t>A small reduction in the sustainability adjustment of £</w:t>
      </w:r>
      <w:r w:rsidR="00E71811" w:rsidRPr="006F02A4">
        <w:t>87</w:t>
      </w:r>
      <w:r w:rsidRPr="006F02A4">
        <w:t xml:space="preserve"> million to £3,1</w:t>
      </w:r>
      <w:r w:rsidR="00A83F46" w:rsidRPr="006F02A4">
        <w:t>06</w:t>
      </w:r>
      <w:r w:rsidRPr="006F02A4">
        <w:t xml:space="preserve"> million, compared with a small increase of £92 million in 2018-19.</w:t>
      </w:r>
      <w:r w:rsidR="00481682" w:rsidRPr="006F02A4">
        <w:t xml:space="preserve"> </w:t>
      </w:r>
      <w:r w:rsidRPr="006F02A4">
        <w:t xml:space="preserve">The sustainability adjustment represents </w:t>
      </w:r>
      <w:r w:rsidRPr="006F02A4">
        <w:lastRenderedPageBreak/>
        <w:t>8.2 per cent of full economic costs</w:t>
      </w:r>
      <w:r w:rsidR="00FF761E" w:rsidRPr="006F02A4">
        <w:t>,</w:t>
      </w:r>
      <w:r w:rsidRPr="006F02A4">
        <w:t xml:space="preserve"> compared with 8.7 per cent of full economic costs in 2018-19.</w:t>
      </w:r>
      <w:r w:rsidR="00481682" w:rsidRPr="006F02A4">
        <w:t xml:space="preserve"> </w:t>
      </w:r>
      <w:r w:rsidRPr="006F02A4">
        <w:t>The sustainability adjustment is calculated based on a six-year average of ‘earnings before interest, taxation, depreciation and amortisation’</w:t>
      </w:r>
      <w:r w:rsidR="00481682" w:rsidRPr="006F02A4">
        <w:t xml:space="preserve"> </w:t>
      </w:r>
      <w:r w:rsidR="00D04999" w:rsidRPr="006F02A4">
        <w:t>(EBITDA) based on data for the latest three years</w:t>
      </w:r>
      <w:r w:rsidR="00481682" w:rsidRPr="006F02A4">
        <w:t>’</w:t>
      </w:r>
      <w:r w:rsidR="00D04999" w:rsidRPr="006F02A4">
        <w:t xml:space="preserve"> audited financial statements and three years</w:t>
      </w:r>
      <w:r w:rsidR="00481682" w:rsidRPr="006F02A4">
        <w:t>’</w:t>
      </w:r>
      <w:r w:rsidR="00D04999" w:rsidRPr="006F02A4">
        <w:t xml:space="preserve"> forecast performance. The reduction in the aggregate sustainability adjustment for 2019-20 for the sector reflects both the reduction in EBITDA (cash generation) incurred in 2019-20 and forecast reductions in one or more future years due to the impact of the COVID</w:t>
      </w:r>
      <w:r w:rsidR="00481682" w:rsidRPr="006F02A4">
        <w:t>-</w:t>
      </w:r>
      <w:r w:rsidR="00D04999" w:rsidRPr="006F02A4">
        <w:t>19 on projections for future income and costs</w:t>
      </w:r>
      <w:r w:rsidR="00AD05FA" w:rsidRPr="006F02A4">
        <w:t xml:space="preserve"> as well as other factors affecting </w:t>
      </w:r>
      <w:r w:rsidR="00B95A7A" w:rsidRPr="006F02A4">
        <w:t>institutions’ projections</w:t>
      </w:r>
      <w:r w:rsidR="00481682" w:rsidRPr="006F02A4">
        <w:t>. It</w:t>
      </w:r>
      <w:r w:rsidR="00D04999" w:rsidRPr="006F02A4">
        <w:t xml:space="preserve"> also </w:t>
      </w:r>
      <w:r w:rsidR="00481682" w:rsidRPr="006F02A4">
        <w:t xml:space="preserve">reflects </w:t>
      </w:r>
      <w:r w:rsidR="00D04999" w:rsidRPr="006F02A4">
        <w:t xml:space="preserve">uncertainty in </w:t>
      </w:r>
      <w:r w:rsidR="00481682" w:rsidRPr="006F02A4">
        <w:t>higher education</w:t>
      </w:r>
      <w:r w:rsidR="00D04999" w:rsidRPr="006F02A4">
        <w:t xml:space="preserve"> institutions’ forecasts</w:t>
      </w:r>
      <w:r w:rsidR="00481682" w:rsidRPr="006F02A4">
        <w:t>,</w:t>
      </w:r>
      <w:r w:rsidR="00D04999" w:rsidRPr="006F02A4">
        <w:t xml:space="preserve"> as prepared and submitted in late 2020 or early 2021</w:t>
      </w:r>
      <w:r w:rsidR="004259D8" w:rsidRPr="006F02A4">
        <w:t xml:space="preserve"> and </w:t>
      </w:r>
      <w:r w:rsidR="005D02A6" w:rsidRPr="006F02A4">
        <w:t>variability</w:t>
      </w:r>
      <w:r w:rsidR="007A5121" w:rsidRPr="006F02A4">
        <w:t xml:space="preserve"> of </w:t>
      </w:r>
      <w:r w:rsidR="000B11AA" w:rsidRPr="006F02A4">
        <w:t>t</w:t>
      </w:r>
      <w:r w:rsidR="00D04999" w:rsidRPr="006F02A4">
        <w:t>he impacts across</w:t>
      </w:r>
      <w:r w:rsidR="002B7549" w:rsidRPr="006F02A4">
        <w:t xml:space="preserve"> </w:t>
      </w:r>
      <w:r w:rsidR="003A4B5E" w:rsidRPr="006F02A4">
        <w:t>insti</w:t>
      </w:r>
      <w:r w:rsidR="001272CE" w:rsidRPr="006F02A4">
        <w:t>t</w:t>
      </w:r>
      <w:r w:rsidR="003A4B5E" w:rsidRPr="006F02A4">
        <w:t>utions</w:t>
      </w:r>
      <w:r w:rsidR="00D04999" w:rsidRPr="006F02A4">
        <w:t xml:space="preserve"> </w:t>
      </w:r>
      <w:r w:rsidR="00427A1F" w:rsidRPr="006F02A4">
        <w:t>(</w:t>
      </w:r>
      <w:proofErr w:type="gramStart"/>
      <w:r w:rsidR="00105450" w:rsidRPr="006F02A4">
        <w:t>e.g.</w:t>
      </w:r>
      <w:proofErr w:type="gramEnd"/>
      <w:r w:rsidR="00105450" w:rsidRPr="006F02A4">
        <w:t xml:space="preserve"> </w:t>
      </w:r>
      <w:r w:rsidR="00D04999" w:rsidRPr="006F02A4">
        <w:t xml:space="preserve">the timescale </w:t>
      </w:r>
      <w:r w:rsidR="00A27D4B" w:rsidRPr="006F02A4">
        <w:t xml:space="preserve">and duration </w:t>
      </w:r>
      <w:r w:rsidR="00D04999" w:rsidRPr="006F02A4">
        <w:t>of the impacts depending on individual providers’ circumstances, mitigations taken or planned</w:t>
      </w:r>
      <w:r w:rsidR="00D70417" w:rsidRPr="006F02A4">
        <w:t>)</w:t>
      </w:r>
      <w:r w:rsidR="00481682" w:rsidRPr="006F02A4">
        <w:t>,</w:t>
      </w:r>
      <w:r w:rsidR="00D04999" w:rsidRPr="006F02A4">
        <w:t xml:space="preserve"> and judgements made </w:t>
      </w:r>
      <w:r w:rsidR="00B33EB0" w:rsidRPr="006F02A4">
        <w:t>by individual institutions</w:t>
      </w:r>
      <w:r w:rsidR="00D04999" w:rsidRPr="006F02A4">
        <w:t xml:space="preserve"> in preparing financial forecasts.</w:t>
      </w:r>
      <w:r w:rsidR="00481682" w:rsidRPr="006F02A4">
        <w:t xml:space="preserve"> </w:t>
      </w:r>
    </w:p>
    <w:p w14:paraId="5DFA460B" w14:textId="621F7602" w:rsidR="00D04999" w:rsidRPr="006F02A4" w:rsidRDefault="00D04999" w:rsidP="008766EE">
      <w:pPr>
        <w:pStyle w:val="Numberedtext1"/>
        <w:numPr>
          <w:ilvl w:val="0"/>
          <w:numId w:val="19"/>
        </w:numPr>
        <w:ind w:left="714" w:hanging="357"/>
      </w:pPr>
      <w:r w:rsidRPr="006F02A4">
        <w:t>Changes in operating arrangements and impact on associated operating costs due to the COVID</w:t>
      </w:r>
      <w:r w:rsidR="00481682" w:rsidRPr="006F02A4">
        <w:t>-</w:t>
      </w:r>
      <w:r w:rsidRPr="006F02A4">
        <w:t>19 pandemic and the national lockdown</w:t>
      </w:r>
      <w:r w:rsidRPr="006F02A4" w:rsidDel="008766EE">
        <w:t xml:space="preserve"> </w:t>
      </w:r>
      <w:r w:rsidRPr="006F02A4">
        <w:t xml:space="preserve">from March to July 2020. Higher education providers will have incurred a range of additional costs </w:t>
      </w:r>
      <w:proofErr w:type="gramStart"/>
      <w:r w:rsidRPr="006F02A4">
        <w:t>in order to</w:t>
      </w:r>
      <w:proofErr w:type="gramEnd"/>
      <w:r w:rsidRPr="006F02A4">
        <w:t xml:space="preserve"> support staff and students to continue on campus during the period prior to the national lockdown</w:t>
      </w:r>
      <w:r w:rsidR="008766EE" w:rsidRPr="006F02A4">
        <w:t>,</w:t>
      </w:r>
      <w:r w:rsidRPr="006F02A4">
        <w:t xml:space="preserve"> or</w:t>
      </w:r>
      <w:r w:rsidR="00481682" w:rsidRPr="006F02A4">
        <w:t xml:space="preserve"> </w:t>
      </w:r>
      <w:r w:rsidRPr="006F02A4">
        <w:t>to work from home and continue delivering teaching, research and support services, as well as in supporting students to continue their studies.</w:t>
      </w:r>
      <w:r w:rsidR="00481682" w:rsidRPr="006F02A4">
        <w:t xml:space="preserve"> </w:t>
      </w:r>
      <w:r w:rsidRPr="006F02A4">
        <w:t>Against this, institutions may have taken a range of steps to reduce costs</w:t>
      </w:r>
      <w:r w:rsidR="008766EE" w:rsidRPr="006F02A4">
        <w:t xml:space="preserve">, for example </w:t>
      </w:r>
      <w:r w:rsidRPr="006F02A4">
        <w:t>of running the estates and on-campus facilities</w:t>
      </w:r>
      <w:r w:rsidR="008766EE" w:rsidRPr="006F02A4">
        <w:t>,</w:t>
      </w:r>
      <w:r w:rsidRPr="006F02A4">
        <w:t xml:space="preserve"> or to defer planned expenditure.</w:t>
      </w:r>
    </w:p>
    <w:p w14:paraId="655E0BF4" w14:textId="67D2688B" w:rsidR="00D04999" w:rsidRPr="006F02A4" w:rsidRDefault="00D04999" w:rsidP="00D04999">
      <w:pPr>
        <w:pStyle w:val="Numberedtext1"/>
      </w:pPr>
      <w:r w:rsidRPr="006F02A4">
        <w:t>Total income includes £9</w:t>
      </w:r>
      <w:r w:rsidR="00690F60" w:rsidRPr="006F02A4">
        <w:t>53</w:t>
      </w:r>
      <w:r w:rsidRPr="006F02A4">
        <w:t xml:space="preserve"> million of income from new endowments received, new donations and new capital grants and other material income, representing 2.7 per cent of income, a reduction on the £1,0</w:t>
      </w:r>
      <w:r w:rsidR="003B5635" w:rsidRPr="006F02A4">
        <w:t>28</w:t>
      </w:r>
      <w:r w:rsidRPr="006F02A4">
        <w:t xml:space="preserve"> million (2.9 per cent) income from these sources in 2018-19. This has the effect of reducing the shortfall on cost recovery as income will be recognised in full on receipt, whereas the expenditure supported from these sources may be incurred in subsequent years.</w:t>
      </w:r>
    </w:p>
    <w:p w14:paraId="63FD886C" w14:textId="77777777" w:rsidR="00D04999" w:rsidRPr="006F02A4" w:rsidRDefault="00D04999" w:rsidP="00D04999">
      <w:pPr>
        <w:pStyle w:val="Numberedtext1"/>
      </w:pPr>
      <w:r w:rsidRPr="006F02A4">
        <w:t xml:space="preserve">Table 1 and Figure 1 show the sector aggregate TRAC data by activity for higher education institutions in England and Northern Ireland. Key points are: </w:t>
      </w:r>
    </w:p>
    <w:p w14:paraId="10678FF2" w14:textId="1F11FA17" w:rsidR="00D04999" w:rsidRPr="006F02A4" w:rsidRDefault="00D04999" w:rsidP="00D04999">
      <w:pPr>
        <w:pStyle w:val="Numberedtext1"/>
        <w:numPr>
          <w:ilvl w:val="0"/>
          <w:numId w:val="20"/>
        </w:numPr>
      </w:pPr>
      <w:r w:rsidRPr="006F02A4">
        <w:t>Publicly funded teaching incurred a small deficit on a full economic cost basis – meaning that costs exceeded income, with 96.</w:t>
      </w:r>
      <w:r w:rsidR="00835DF9" w:rsidRPr="006F02A4">
        <w:t>2</w:t>
      </w:r>
      <w:r w:rsidRPr="006F02A4">
        <w:t xml:space="preserve"> per cent of the full economic costs recovered</w:t>
      </w:r>
      <w:r w:rsidR="00F72C8C" w:rsidRPr="006F02A4">
        <w:t xml:space="preserve"> compared with 96.7 per cent in</w:t>
      </w:r>
      <w:r w:rsidRPr="006F02A4">
        <w:t xml:space="preserve"> 2018-19.</w:t>
      </w:r>
    </w:p>
    <w:p w14:paraId="700A024A" w14:textId="34EDE29C" w:rsidR="00D04999" w:rsidRPr="006F02A4" w:rsidRDefault="00D04999" w:rsidP="00D04999">
      <w:pPr>
        <w:pStyle w:val="Numberedtext1"/>
        <w:numPr>
          <w:ilvl w:val="0"/>
          <w:numId w:val="20"/>
        </w:numPr>
      </w:pPr>
      <w:r w:rsidRPr="006F02A4">
        <w:t>Non-publicly funded teaching (primarily overseas students) continued to generate a significant surplus: £</w:t>
      </w:r>
      <w:r w:rsidR="00B03304" w:rsidRPr="006F02A4">
        <w:t>1,993</w:t>
      </w:r>
      <w:r w:rsidRPr="006F02A4">
        <w:t xml:space="preserve"> million recovering 147</w:t>
      </w:r>
      <w:r w:rsidR="00B03304" w:rsidRPr="006F02A4">
        <w:t>.4</w:t>
      </w:r>
      <w:r w:rsidRPr="006F02A4">
        <w:t xml:space="preserve"> per cent of costs, representing an increase in recovery from</w:t>
      </w:r>
      <w:r w:rsidR="00481682" w:rsidRPr="006F02A4">
        <w:t xml:space="preserve"> </w:t>
      </w:r>
      <w:r w:rsidRPr="006F02A4">
        <w:t>£1,6</w:t>
      </w:r>
      <w:r w:rsidR="00864341" w:rsidRPr="006F02A4">
        <w:t>66</w:t>
      </w:r>
      <w:r w:rsidRPr="006F02A4">
        <w:t xml:space="preserve"> million recovering 14</w:t>
      </w:r>
      <w:r w:rsidR="00864341" w:rsidRPr="006F02A4">
        <w:t>4</w:t>
      </w:r>
      <w:r w:rsidRPr="006F02A4">
        <w:t>.</w:t>
      </w:r>
      <w:r w:rsidR="00864341" w:rsidRPr="006F02A4">
        <w:t>1</w:t>
      </w:r>
      <w:r w:rsidRPr="006F02A4">
        <w:t xml:space="preserve"> per cent of costs from 2018-19.</w:t>
      </w:r>
    </w:p>
    <w:p w14:paraId="4B06C6BF" w14:textId="2D47910F" w:rsidR="00D04999" w:rsidRPr="006F02A4" w:rsidRDefault="00D04999" w:rsidP="00D04999">
      <w:pPr>
        <w:pStyle w:val="Numberedtext1"/>
        <w:numPr>
          <w:ilvl w:val="0"/>
          <w:numId w:val="20"/>
        </w:numPr>
      </w:pPr>
      <w:r w:rsidRPr="006F02A4">
        <w:t>Research continues to show a substantial deficit, increasing from £3,</w:t>
      </w:r>
      <w:r w:rsidR="00EC0AA2" w:rsidRPr="006F02A4">
        <w:t>899</w:t>
      </w:r>
      <w:r w:rsidRPr="006F02A4">
        <w:t xml:space="preserve"> million in 2018-19 to £4,0</w:t>
      </w:r>
      <w:r w:rsidR="00E3143F" w:rsidRPr="006F02A4">
        <w:t>09</w:t>
      </w:r>
      <w:r w:rsidRPr="006F02A4">
        <w:t xml:space="preserve"> million. This represents a recovery of only 68.</w:t>
      </w:r>
      <w:r w:rsidR="00E3143F" w:rsidRPr="006F02A4">
        <w:t>8</w:t>
      </w:r>
      <w:r w:rsidRPr="006F02A4">
        <w:t xml:space="preserve"> per cent of full economic costs – a small deterioration from the 2018-19 recovery of 69.</w:t>
      </w:r>
      <w:r w:rsidR="00E3143F" w:rsidRPr="006F02A4">
        <w:t>6</w:t>
      </w:r>
      <w:r w:rsidRPr="006F02A4">
        <w:t xml:space="preserve"> per cent of full economic costs, but notably lower than in 2010-11 when the recovery rate on research peaked at 77.8 per cent. Research income for 201</w:t>
      </w:r>
      <w:r w:rsidR="00BE1D33" w:rsidRPr="006F02A4">
        <w:t>9</w:t>
      </w:r>
      <w:r w:rsidRPr="006F02A4">
        <w:t>-</w:t>
      </w:r>
      <w:r w:rsidR="00BE1D33" w:rsidRPr="006F02A4">
        <w:t>20</w:t>
      </w:r>
      <w:r w:rsidRPr="006F02A4">
        <w:t xml:space="preserve"> includes £405 million of income from new endowments and donations, and new capital grants, representing </w:t>
      </w:r>
      <w:r w:rsidR="00FA50D7" w:rsidRPr="006F02A4">
        <w:t>4.6</w:t>
      </w:r>
      <w:r w:rsidRPr="006F02A4">
        <w:t xml:space="preserve"> per cent of research income. This compares with £567 million (6.3 per cent of research income) in 2018-19.</w:t>
      </w:r>
    </w:p>
    <w:p w14:paraId="3368F590" w14:textId="3CA7CB5D" w:rsidR="00A06D2F" w:rsidRPr="006F02A4" w:rsidRDefault="00D04999" w:rsidP="00A06D2F">
      <w:pPr>
        <w:pStyle w:val="Numberedtext1"/>
        <w:numPr>
          <w:ilvl w:val="0"/>
          <w:numId w:val="20"/>
        </w:numPr>
      </w:pPr>
      <w:r w:rsidRPr="006F02A4">
        <w:lastRenderedPageBreak/>
        <w:t>Other (income</w:t>
      </w:r>
      <w:r w:rsidR="00FF761E" w:rsidRPr="006F02A4">
        <w:t>-</w:t>
      </w:r>
      <w:r w:rsidRPr="006F02A4">
        <w:t>generating) activities show a deficit with costs exceeding income by £7</w:t>
      </w:r>
      <w:r w:rsidR="009926A4" w:rsidRPr="006F02A4">
        <w:t>92 </w:t>
      </w:r>
      <w:r w:rsidRPr="006F02A4">
        <w:t>million, representing a recovery rate of only 8</w:t>
      </w:r>
      <w:r w:rsidR="009926A4" w:rsidRPr="006F02A4">
        <w:t>6</w:t>
      </w:r>
      <w:r w:rsidRPr="006F02A4">
        <w:t>.</w:t>
      </w:r>
      <w:r w:rsidR="009926A4" w:rsidRPr="006F02A4">
        <w:t>9</w:t>
      </w:r>
      <w:r w:rsidRPr="006F02A4">
        <w:t xml:space="preserve"> per cent. This represents a significant change from the previous year which recorded a small surplus of income over costs of</w:t>
      </w:r>
      <w:r w:rsidR="00A06D2F" w:rsidRPr="006F02A4">
        <w:t xml:space="preserve"> £21</w:t>
      </w:r>
      <w:r w:rsidR="00C116CA" w:rsidRPr="006F02A4">
        <w:t>3</w:t>
      </w:r>
      <w:r w:rsidR="00A06D2F" w:rsidRPr="006F02A4">
        <w:t xml:space="preserve"> million representing a recovery </w:t>
      </w:r>
      <w:r w:rsidR="00FF761E" w:rsidRPr="006F02A4">
        <w:t xml:space="preserve">of </w:t>
      </w:r>
      <w:r w:rsidR="00A06D2F" w:rsidRPr="006F02A4">
        <w:t>103.6 per cent.</w:t>
      </w:r>
      <w:r w:rsidR="00481682" w:rsidRPr="006F02A4">
        <w:t xml:space="preserve"> </w:t>
      </w:r>
      <w:r w:rsidR="00A06D2F" w:rsidRPr="006F02A4">
        <w:t>Total income reduced from £6,10</w:t>
      </w:r>
      <w:r w:rsidR="002D152C" w:rsidRPr="006F02A4">
        <w:t>1</w:t>
      </w:r>
      <w:r w:rsidR="00A06D2F" w:rsidRPr="006F02A4">
        <w:t xml:space="preserve"> million to £5,27</w:t>
      </w:r>
      <w:r w:rsidR="00914D80" w:rsidRPr="006F02A4">
        <w:t>0</w:t>
      </w:r>
      <w:r w:rsidR="00A06D2F" w:rsidRPr="006F02A4">
        <w:t xml:space="preserve"> million – largely attributable to the waiver, or refund</w:t>
      </w:r>
      <w:r w:rsidR="00FF761E" w:rsidRPr="006F02A4">
        <w:t>,</w:t>
      </w:r>
      <w:r w:rsidR="00A06D2F" w:rsidRPr="006F02A4">
        <w:t xml:space="preserve"> of</w:t>
      </w:r>
      <w:r w:rsidR="00A06D2F" w:rsidRPr="006F02A4" w:rsidDel="00FF761E">
        <w:t xml:space="preserve"> </w:t>
      </w:r>
      <w:r w:rsidR="00A06D2F" w:rsidRPr="006F02A4">
        <w:t>accommodation fees made to students in institution-owned accommodation</w:t>
      </w:r>
      <w:r w:rsidR="00FF761E" w:rsidRPr="006F02A4">
        <w:t>,</w:t>
      </w:r>
      <w:r w:rsidR="00A06D2F" w:rsidRPr="006F02A4">
        <w:t xml:space="preserve"> </w:t>
      </w:r>
      <w:r w:rsidR="009A134D" w:rsidRPr="006F02A4">
        <w:t>as well as</w:t>
      </w:r>
      <w:r w:rsidR="00A06D2F" w:rsidRPr="006F02A4">
        <w:t xml:space="preserve"> </w:t>
      </w:r>
      <w:r w:rsidR="00FF761E" w:rsidRPr="006F02A4">
        <w:t xml:space="preserve">to the </w:t>
      </w:r>
      <w:r w:rsidR="00A06D2F" w:rsidRPr="006F02A4">
        <w:t xml:space="preserve">loss of revenue from on-campus catering, </w:t>
      </w:r>
      <w:proofErr w:type="gramStart"/>
      <w:r w:rsidR="00A06D2F" w:rsidRPr="006F02A4">
        <w:t>facilities</w:t>
      </w:r>
      <w:proofErr w:type="gramEnd"/>
      <w:r w:rsidR="00A06D2F" w:rsidRPr="006F02A4">
        <w:t xml:space="preserve"> and conference operations</w:t>
      </w:r>
      <w:r w:rsidR="00FF761E" w:rsidRPr="006F02A4">
        <w:t xml:space="preserve"> –</w:t>
      </w:r>
      <w:r w:rsidR="00A06D2F" w:rsidRPr="006F02A4">
        <w:t xml:space="preserve"> whilst the full economic costs increased from £5,8</w:t>
      </w:r>
      <w:r w:rsidR="00B162CD" w:rsidRPr="006F02A4">
        <w:t>89</w:t>
      </w:r>
      <w:r w:rsidR="00A06D2F" w:rsidRPr="006F02A4">
        <w:t xml:space="preserve"> million to £6,06</w:t>
      </w:r>
      <w:r w:rsidR="00981ABF" w:rsidRPr="006F02A4">
        <w:t>3</w:t>
      </w:r>
      <w:r w:rsidR="00A06D2F" w:rsidRPr="006F02A4">
        <w:t xml:space="preserve"> million.</w:t>
      </w:r>
    </w:p>
    <w:p w14:paraId="5CA15BBE" w14:textId="34C21EA8" w:rsidR="00A06D2F" w:rsidRPr="006F02A4" w:rsidRDefault="00A06D2F" w:rsidP="00A06D2F">
      <w:pPr>
        <w:pStyle w:val="Numberedtext1"/>
        <w:numPr>
          <w:ilvl w:val="0"/>
          <w:numId w:val="20"/>
        </w:numPr>
      </w:pPr>
      <w:r w:rsidRPr="006F02A4">
        <w:t>Other (non-commercial) activity (income from investments, donations and endowments</w:t>
      </w:r>
      <w:r w:rsidR="00FF761E" w:rsidRPr="006F02A4">
        <w:t>,</w:t>
      </w:r>
      <w:r w:rsidRPr="006F02A4">
        <w:t xml:space="preserve"> and capital grants received in the year that are not allocated to teaching or research), off-set by expenditure funded from these sources in the year, shows a surplus of £</w:t>
      </w:r>
      <w:r w:rsidR="00981ABF" w:rsidRPr="006F02A4">
        <w:t>520</w:t>
      </w:r>
      <w:r w:rsidRPr="006F02A4">
        <w:t xml:space="preserve"> million. This represents a significant reduction from £1,0</w:t>
      </w:r>
      <w:r w:rsidR="00C83165" w:rsidRPr="006F02A4">
        <w:t>47</w:t>
      </w:r>
      <w:r w:rsidRPr="006F02A4">
        <w:t xml:space="preserve"> million in 2018-19. Some caution is required in interpreting this category as FRS102 causes potentially significant distortion: the reporting standard requires recognition of new endowments and donations and new capital grants received in year, as income in full in the year of receipt, while the funds will support expenditure arising in subsequent years </w:t>
      </w:r>
      <w:r w:rsidR="00FF761E" w:rsidRPr="006F02A4">
        <w:t>(</w:t>
      </w:r>
      <w:r w:rsidRPr="006F02A4">
        <w:t xml:space="preserve">such as investment in buildings, </w:t>
      </w:r>
      <w:proofErr w:type="gramStart"/>
      <w:r w:rsidRPr="006F02A4">
        <w:t>equipment</w:t>
      </w:r>
      <w:proofErr w:type="gramEnd"/>
      <w:r w:rsidRPr="006F02A4">
        <w:t xml:space="preserve"> and facilities</w:t>
      </w:r>
      <w:r w:rsidR="00FF761E" w:rsidRPr="006F02A4">
        <w:t>)</w:t>
      </w:r>
      <w:r w:rsidRPr="006F02A4">
        <w:t>. In 2019-20, income from new endowments, donations, new capital grants and other material items totalled £2</w:t>
      </w:r>
      <w:r w:rsidR="00EF1AB3" w:rsidRPr="006F02A4">
        <w:t>81</w:t>
      </w:r>
      <w:r w:rsidRPr="006F02A4">
        <w:t xml:space="preserve"> million</w:t>
      </w:r>
      <w:r w:rsidR="00FF761E" w:rsidRPr="006F02A4">
        <w:t>,</w:t>
      </w:r>
      <w:r w:rsidRPr="006F02A4">
        <w:t xml:space="preserve"> representing 2</w:t>
      </w:r>
      <w:r w:rsidR="005F7DC7" w:rsidRPr="006F02A4">
        <w:t>5</w:t>
      </w:r>
      <w:r w:rsidRPr="006F02A4">
        <w:t>.</w:t>
      </w:r>
      <w:r w:rsidR="005F7DC7" w:rsidRPr="006F02A4">
        <w:t>2</w:t>
      </w:r>
      <w:r w:rsidRPr="006F02A4">
        <w:t> per cent of other (non-commercial) income, compared with 1</w:t>
      </w:r>
      <w:r w:rsidR="007243E6" w:rsidRPr="006F02A4">
        <w:t>3</w:t>
      </w:r>
      <w:r w:rsidRPr="006F02A4">
        <w:t>.</w:t>
      </w:r>
      <w:r w:rsidR="007243E6" w:rsidRPr="006F02A4">
        <w:t>7</w:t>
      </w:r>
      <w:r w:rsidRPr="006F02A4">
        <w:t xml:space="preserve"> per cent in 2018-19.</w:t>
      </w:r>
    </w:p>
    <w:p w14:paraId="637B8178" w14:textId="2EF8BCD7" w:rsidR="00FA0DF3" w:rsidRPr="006F02A4" w:rsidRDefault="00FA0DF3" w:rsidP="00FF761E">
      <w:pPr>
        <w:pStyle w:val="Heading2"/>
      </w:pPr>
      <w:bookmarkStart w:id="3" w:name="_Toc42783349"/>
      <w:bookmarkStart w:id="4" w:name="_Toc77951452"/>
      <w:bookmarkStart w:id="5" w:name="_Toc78299727"/>
      <w:r w:rsidRPr="006F02A4">
        <w:t xml:space="preserve">Definitions for Table 1 (page </w:t>
      </w:r>
      <w:r w:rsidR="000B0CEA" w:rsidRPr="006F02A4">
        <w:t>7</w:t>
      </w:r>
      <w:r w:rsidRPr="006F02A4">
        <w:t xml:space="preserve">) and Figure 1 (page </w:t>
      </w:r>
      <w:r w:rsidR="000B0CEA" w:rsidRPr="006F02A4">
        <w:t>8</w:t>
      </w:r>
      <w:r w:rsidRPr="006F02A4">
        <w:t>)</w:t>
      </w:r>
      <w:bookmarkEnd w:id="3"/>
      <w:bookmarkEnd w:id="4"/>
      <w:bookmarkEnd w:id="5"/>
    </w:p>
    <w:p w14:paraId="1422D786" w14:textId="77777777" w:rsidR="00FA0DF3" w:rsidRPr="006F02A4" w:rsidRDefault="00FA0DF3" w:rsidP="00FA0DF3">
      <w:pPr>
        <w:spacing w:after="120" w:line="300" w:lineRule="atLeast"/>
      </w:pPr>
      <w:r w:rsidRPr="006F02A4">
        <w:rPr>
          <w:b/>
        </w:rPr>
        <w:t>Publicly funded teaching:</w:t>
      </w:r>
      <w:r w:rsidRPr="006F02A4">
        <w:t xml:space="preserve"> Teaching of higher and further education courses to home and EU students who were fundable by the </w:t>
      </w:r>
      <w:proofErr w:type="spellStart"/>
      <w:r w:rsidRPr="006F02A4">
        <w:t>OfS</w:t>
      </w:r>
      <w:proofErr w:type="spellEnd"/>
      <w:r w:rsidRPr="006F02A4">
        <w:t xml:space="preserve"> or the Department for the Economy (Northern Ireland) or by the NHS, National College of Teaching and Leadership, or Education and Skills Funding Agency. Income includes student fees paid via the Student Loans Company.</w:t>
      </w:r>
    </w:p>
    <w:p w14:paraId="17B2FDFC" w14:textId="77777777" w:rsidR="00FA0DF3" w:rsidRPr="006F02A4" w:rsidRDefault="00FA0DF3" w:rsidP="00FA0DF3">
      <w:pPr>
        <w:spacing w:after="120" w:line="300" w:lineRule="atLeast"/>
      </w:pPr>
      <w:r w:rsidRPr="006F02A4">
        <w:rPr>
          <w:b/>
        </w:rPr>
        <w:t>Non-publicly funded teaching:</w:t>
      </w:r>
      <w:r w:rsidRPr="006F02A4">
        <w:t xml:space="preserve"> Teaching of students from outside the UK and EU; self-funded home and EU students and other commissioned courses (such as employer-specific ‘closed’ courses).</w:t>
      </w:r>
    </w:p>
    <w:p w14:paraId="48C658E7" w14:textId="77777777" w:rsidR="00FA0DF3" w:rsidRPr="006F02A4" w:rsidRDefault="00FA0DF3" w:rsidP="00FA0DF3">
      <w:pPr>
        <w:spacing w:after="120" w:line="300" w:lineRule="atLeast"/>
      </w:pPr>
      <w:r w:rsidRPr="006F02A4">
        <w:rPr>
          <w:b/>
        </w:rPr>
        <w:t>Research:</w:t>
      </w:r>
      <w:r w:rsidRPr="006F02A4">
        <w:t xml:space="preserve"> All research activity (but not scholarship or staff development) commissioned and funded by external sponsors, or the institution’s own-funded research activity. Public sponsors of research include UK research councils and other government departments. Other sponsors include UK charities, the EU, overseas governments, overseas </w:t>
      </w:r>
      <w:proofErr w:type="gramStart"/>
      <w:r w:rsidRPr="006F02A4">
        <w:t>charities</w:t>
      </w:r>
      <w:proofErr w:type="gramEnd"/>
      <w:r w:rsidRPr="006F02A4">
        <w:t xml:space="preserve"> and research carried out for commercial or industrial sponsors.</w:t>
      </w:r>
    </w:p>
    <w:p w14:paraId="7C4D8422" w14:textId="77777777" w:rsidR="00FA0DF3" w:rsidRPr="006F02A4" w:rsidRDefault="00FA0DF3" w:rsidP="00FA0DF3">
      <w:pPr>
        <w:spacing w:after="120" w:line="300" w:lineRule="atLeast"/>
      </w:pPr>
      <w:r w:rsidRPr="006F02A4">
        <w:rPr>
          <w:b/>
        </w:rPr>
        <w:t>Other (income-generating):</w:t>
      </w:r>
      <w:r w:rsidRPr="006F02A4">
        <w:t xml:space="preserve"> Includes commercial activities such as catering and conferences, commercially let facilities and residences; activities carried out through subsidiary companies such as publishing or commercial consultancy; knowledge transfer activity; and, for institutions with medical and dental schools, services provided to the NHS. </w:t>
      </w:r>
    </w:p>
    <w:p w14:paraId="532B8A02" w14:textId="77777777" w:rsidR="00FA0DF3" w:rsidRPr="006F02A4" w:rsidRDefault="00FA0DF3" w:rsidP="00FA0DF3">
      <w:pPr>
        <w:pStyle w:val="Numberedtext1"/>
        <w:numPr>
          <w:ilvl w:val="0"/>
          <w:numId w:val="0"/>
        </w:numPr>
        <w:sectPr w:rsidR="00FA0DF3" w:rsidRPr="006F02A4" w:rsidSect="002B029B">
          <w:pgSz w:w="11906" w:h="16838" w:code="9"/>
          <w:pgMar w:top="1134" w:right="1134" w:bottom="1134" w:left="1134" w:header="454" w:footer="454" w:gutter="0"/>
          <w:cols w:space="708"/>
          <w:titlePg/>
          <w:docGrid w:linePitch="360"/>
        </w:sectPr>
      </w:pPr>
      <w:r w:rsidRPr="006F02A4">
        <w:rPr>
          <w:b/>
        </w:rPr>
        <w:t>Other (non-commercial):</w:t>
      </w:r>
      <w:r w:rsidRPr="006F02A4">
        <w:t xml:space="preserve"> Non-commercial activity such as investment and donations or endowments.</w:t>
      </w:r>
    </w:p>
    <w:p w14:paraId="78F41F23" w14:textId="4FC5CB9D" w:rsidR="001764D5" w:rsidRPr="006F02A4" w:rsidRDefault="001764D5" w:rsidP="001764D5">
      <w:pPr>
        <w:pStyle w:val="Heading3"/>
      </w:pPr>
      <w:bookmarkStart w:id="6" w:name="_Toc78299728"/>
      <w:r w:rsidRPr="006F02A4">
        <w:lastRenderedPageBreak/>
        <w:t>Table 1: TRAC income and full economic costs by activity</w:t>
      </w:r>
      <w:r w:rsidR="00C15B07" w:rsidRPr="006F02A4">
        <w:t>,</w:t>
      </w:r>
      <w:r w:rsidRPr="006F02A4">
        <w:t xml:space="preserve"> 2019-20 (</w:t>
      </w:r>
      <w:r w:rsidR="00050B55">
        <w:t>higher education institutions</w:t>
      </w:r>
      <w:r w:rsidRPr="006F02A4">
        <w:t xml:space="preserve"> in England and Northern</w:t>
      </w:r>
      <w:r w:rsidR="00050B55">
        <w:t> </w:t>
      </w:r>
      <w:r w:rsidRPr="006F02A4">
        <w:t>Ireland) (figures in £M)</w:t>
      </w:r>
      <w:r w:rsidRPr="006F02A4">
        <w:rPr>
          <w:rStyle w:val="FootnoteReference"/>
        </w:rPr>
        <w:footnoteReference w:id="12"/>
      </w:r>
      <w:bookmarkEnd w:id="6"/>
    </w:p>
    <w:tbl>
      <w:tblPr>
        <w:tblW w:w="14160" w:type="dxa"/>
        <w:tblLook w:val="04A0" w:firstRow="1" w:lastRow="0" w:firstColumn="1" w:lastColumn="0" w:noHBand="0" w:noVBand="1"/>
      </w:tblPr>
      <w:tblGrid>
        <w:gridCol w:w="4680"/>
        <w:gridCol w:w="1580"/>
        <w:gridCol w:w="1580"/>
        <w:gridCol w:w="1580"/>
        <w:gridCol w:w="1580"/>
        <w:gridCol w:w="1580"/>
        <w:gridCol w:w="1580"/>
      </w:tblGrid>
      <w:tr w:rsidR="000604E9" w:rsidRPr="006F02A4" w14:paraId="786F3039" w14:textId="77777777" w:rsidTr="00E33E0E">
        <w:trPr>
          <w:trHeight w:val="360"/>
        </w:trPr>
        <w:tc>
          <w:tcPr>
            <w:tcW w:w="4680" w:type="dxa"/>
            <w:tcBorders>
              <w:top w:val="single" w:sz="4" w:space="0" w:color="auto"/>
              <w:left w:val="single" w:sz="4" w:space="0" w:color="auto"/>
              <w:bottom w:val="nil"/>
              <w:right w:val="nil"/>
            </w:tcBorders>
            <w:shd w:val="clear" w:color="000000" w:fill="002554"/>
            <w:vAlign w:val="center"/>
            <w:hideMark/>
          </w:tcPr>
          <w:p w14:paraId="1C8B446A" w14:textId="77777777" w:rsidR="000604E9" w:rsidRPr="006F02A4" w:rsidRDefault="000604E9" w:rsidP="00E33E0E">
            <w:pPr>
              <w:spacing w:after="0" w:line="240" w:lineRule="auto"/>
              <w:rPr>
                <w:rFonts w:ascii="Arial" w:eastAsia="Times New Roman" w:hAnsi="Arial" w:cs="Arial"/>
                <w:b/>
                <w:bCs/>
                <w:color w:val="FFFFFF"/>
                <w:lang w:eastAsia="en-GB"/>
              </w:rPr>
            </w:pPr>
            <w:r w:rsidRPr="006F02A4">
              <w:rPr>
                <w:rFonts w:ascii="Arial" w:eastAsia="Times New Roman" w:hAnsi="Arial" w:cs="Arial"/>
                <w:b/>
                <w:bCs/>
                <w:color w:val="FFFFFF"/>
                <w:lang w:eastAsia="en-GB"/>
              </w:rPr>
              <w:t> </w:t>
            </w:r>
          </w:p>
        </w:tc>
        <w:tc>
          <w:tcPr>
            <w:tcW w:w="1580" w:type="dxa"/>
            <w:tcBorders>
              <w:top w:val="single" w:sz="4" w:space="0" w:color="auto"/>
              <w:left w:val="nil"/>
              <w:bottom w:val="nil"/>
              <w:right w:val="nil"/>
            </w:tcBorders>
            <w:shd w:val="clear" w:color="000000" w:fill="002554"/>
            <w:vAlign w:val="center"/>
            <w:hideMark/>
          </w:tcPr>
          <w:p w14:paraId="25CC4C29" w14:textId="77777777" w:rsidR="000604E9" w:rsidRPr="006F02A4" w:rsidRDefault="000604E9" w:rsidP="00E33E0E">
            <w:pPr>
              <w:spacing w:after="0" w:line="240" w:lineRule="auto"/>
              <w:jc w:val="right"/>
              <w:rPr>
                <w:rFonts w:ascii="Arial" w:eastAsia="Times New Roman" w:hAnsi="Arial" w:cs="Arial"/>
                <w:b/>
                <w:bCs/>
                <w:color w:val="FFFFFF"/>
                <w:lang w:eastAsia="en-GB"/>
              </w:rPr>
            </w:pPr>
            <w:r w:rsidRPr="006F02A4">
              <w:rPr>
                <w:rFonts w:ascii="Arial" w:eastAsia="Times New Roman" w:hAnsi="Arial" w:cs="Arial"/>
                <w:b/>
                <w:bCs/>
                <w:color w:val="FFFFFF"/>
                <w:lang w:eastAsia="en-GB"/>
              </w:rPr>
              <w:t>Teaching</w:t>
            </w:r>
          </w:p>
        </w:tc>
        <w:tc>
          <w:tcPr>
            <w:tcW w:w="1580" w:type="dxa"/>
            <w:tcBorders>
              <w:top w:val="single" w:sz="4" w:space="0" w:color="auto"/>
              <w:left w:val="nil"/>
              <w:bottom w:val="nil"/>
              <w:right w:val="nil"/>
            </w:tcBorders>
            <w:shd w:val="clear" w:color="000000" w:fill="002554"/>
            <w:vAlign w:val="center"/>
            <w:hideMark/>
          </w:tcPr>
          <w:p w14:paraId="29927678" w14:textId="77777777" w:rsidR="000604E9" w:rsidRPr="006F02A4" w:rsidRDefault="000604E9" w:rsidP="00E33E0E">
            <w:pPr>
              <w:spacing w:after="0" w:line="240" w:lineRule="auto"/>
              <w:jc w:val="right"/>
              <w:rPr>
                <w:rFonts w:ascii="Arial" w:eastAsia="Times New Roman" w:hAnsi="Arial" w:cs="Arial"/>
                <w:b/>
                <w:bCs/>
                <w:color w:val="FFFFFF"/>
                <w:lang w:eastAsia="en-GB"/>
              </w:rPr>
            </w:pPr>
            <w:r w:rsidRPr="006F02A4">
              <w:rPr>
                <w:rFonts w:ascii="Arial" w:eastAsia="Times New Roman" w:hAnsi="Arial" w:cs="Arial"/>
                <w:b/>
                <w:bCs/>
                <w:color w:val="FFFFFF"/>
                <w:lang w:eastAsia="en-GB"/>
              </w:rPr>
              <w:t>Teaching</w:t>
            </w:r>
          </w:p>
        </w:tc>
        <w:tc>
          <w:tcPr>
            <w:tcW w:w="1580" w:type="dxa"/>
            <w:tcBorders>
              <w:top w:val="single" w:sz="4" w:space="0" w:color="auto"/>
              <w:left w:val="nil"/>
              <w:bottom w:val="nil"/>
              <w:right w:val="nil"/>
            </w:tcBorders>
            <w:shd w:val="clear" w:color="000000" w:fill="002554"/>
            <w:vAlign w:val="center"/>
            <w:hideMark/>
          </w:tcPr>
          <w:p w14:paraId="72D7AE8F" w14:textId="77777777" w:rsidR="000604E9" w:rsidRPr="006F02A4" w:rsidRDefault="000604E9" w:rsidP="00E33E0E">
            <w:pPr>
              <w:spacing w:after="0" w:line="240" w:lineRule="auto"/>
              <w:jc w:val="right"/>
              <w:rPr>
                <w:rFonts w:ascii="Arial" w:eastAsia="Times New Roman" w:hAnsi="Arial" w:cs="Arial"/>
                <w:b/>
                <w:bCs/>
                <w:color w:val="FFFFFF"/>
                <w:lang w:eastAsia="en-GB"/>
              </w:rPr>
            </w:pPr>
            <w:r w:rsidRPr="006F02A4">
              <w:rPr>
                <w:rFonts w:ascii="Arial" w:eastAsia="Times New Roman" w:hAnsi="Arial" w:cs="Arial"/>
                <w:b/>
                <w:bCs/>
                <w:color w:val="FFFFFF"/>
                <w:lang w:eastAsia="en-GB"/>
              </w:rPr>
              <w:t>Research</w:t>
            </w:r>
          </w:p>
        </w:tc>
        <w:tc>
          <w:tcPr>
            <w:tcW w:w="1580" w:type="dxa"/>
            <w:tcBorders>
              <w:top w:val="single" w:sz="4" w:space="0" w:color="auto"/>
              <w:left w:val="nil"/>
              <w:bottom w:val="nil"/>
              <w:right w:val="nil"/>
            </w:tcBorders>
            <w:shd w:val="clear" w:color="000000" w:fill="002554"/>
            <w:vAlign w:val="center"/>
            <w:hideMark/>
          </w:tcPr>
          <w:p w14:paraId="5750A367" w14:textId="77777777" w:rsidR="000604E9" w:rsidRPr="006F02A4" w:rsidRDefault="000604E9" w:rsidP="00E33E0E">
            <w:pPr>
              <w:spacing w:after="0" w:line="240" w:lineRule="auto"/>
              <w:jc w:val="right"/>
              <w:rPr>
                <w:rFonts w:ascii="Arial" w:eastAsia="Times New Roman" w:hAnsi="Arial" w:cs="Arial"/>
                <w:b/>
                <w:bCs/>
                <w:color w:val="FFFFFF"/>
                <w:lang w:eastAsia="en-GB"/>
              </w:rPr>
            </w:pPr>
            <w:r w:rsidRPr="006F02A4">
              <w:rPr>
                <w:rFonts w:ascii="Arial" w:eastAsia="Times New Roman" w:hAnsi="Arial" w:cs="Arial"/>
                <w:b/>
                <w:bCs/>
                <w:color w:val="FFFFFF"/>
                <w:lang w:eastAsia="en-GB"/>
              </w:rPr>
              <w:t>Other</w:t>
            </w:r>
          </w:p>
        </w:tc>
        <w:tc>
          <w:tcPr>
            <w:tcW w:w="1580" w:type="dxa"/>
            <w:tcBorders>
              <w:top w:val="single" w:sz="4" w:space="0" w:color="auto"/>
              <w:left w:val="nil"/>
              <w:bottom w:val="nil"/>
              <w:right w:val="nil"/>
            </w:tcBorders>
            <w:shd w:val="clear" w:color="000000" w:fill="002554"/>
            <w:vAlign w:val="center"/>
            <w:hideMark/>
          </w:tcPr>
          <w:p w14:paraId="4B997F35" w14:textId="77777777" w:rsidR="000604E9" w:rsidRPr="006F02A4" w:rsidRDefault="000604E9" w:rsidP="00E33E0E">
            <w:pPr>
              <w:spacing w:after="0" w:line="240" w:lineRule="auto"/>
              <w:jc w:val="right"/>
              <w:rPr>
                <w:rFonts w:ascii="Arial" w:eastAsia="Times New Roman" w:hAnsi="Arial" w:cs="Arial"/>
                <w:b/>
                <w:bCs/>
                <w:color w:val="FFFFFF"/>
                <w:lang w:eastAsia="en-GB"/>
              </w:rPr>
            </w:pPr>
            <w:r w:rsidRPr="006F02A4">
              <w:rPr>
                <w:rFonts w:ascii="Arial" w:eastAsia="Times New Roman" w:hAnsi="Arial" w:cs="Arial"/>
                <w:b/>
                <w:bCs/>
                <w:color w:val="FFFFFF"/>
                <w:lang w:eastAsia="en-GB"/>
              </w:rPr>
              <w:t xml:space="preserve">Other </w:t>
            </w:r>
          </w:p>
        </w:tc>
        <w:tc>
          <w:tcPr>
            <w:tcW w:w="1580" w:type="dxa"/>
            <w:tcBorders>
              <w:top w:val="single" w:sz="4" w:space="0" w:color="auto"/>
              <w:left w:val="nil"/>
              <w:bottom w:val="nil"/>
              <w:right w:val="single" w:sz="4" w:space="0" w:color="auto"/>
            </w:tcBorders>
            <w:shd w:val="clear" w:color="000000" w:fill="002554"/>
            <w:vAlign w:val="center"/>
            <w:hideMark/>
          </w:tcPr>
          <w:p w14:paraId="5AB1F775" w14:textId="77777777" w:rsidR="000604E9" w:rsidRPr="006F02A4" w:rsidRDefault="000604E9" w:rsidP="00E33E0E">
            <w:pPr>
              <w:spacing w:after="0" w:line="240" w:lineRule="auto"/>
              <w:jc w:val="right"/>
              <w:rPr>
                <w:rFonts w:ascii="Arial" w:eastAsia="Times New Roman" w:hAnsi="Arial" w:cs="Arial"/>
                <w:b/>
                <w:bCs/>
                <w:color w:val="FFFFFF"/>
                <w:lang w:eastAsia="en-GB"/>
              </w:rPr>
            </w:pPr>
            <w:r w:rsidRPr="006F02A4">
              <w:rPr>
                <w:rFonts w:ascii="Arial" w:eastAsia="Times New Roman" w:hAnsi="Arial" w:cs="Arial"/>
                <w:b/>
                <w:bCs/>
                <w:color w:val="FFFFFF"/>
                <w:lang w:eastAsia="en-GB"/>
              </w:rPr>
              <w:t>Total</w:t>
            </w:r>
          </w:p>
        </w:tc>
      </w:tr>
      <w:tr w:rsidR="000604E9" w:rsidRPr="006F02A4" w14:paraId="39E22E21" w14:textId="77777777" w:rsidTr="00E33E0E">
        <w:trPr>
          <w:trHeight w:val="900"/>
        </w:trPr>
        <w:tc>
          <w:tcPr>
            <w:tcW w:w="4680" w:type="dxa"/>
            <w:tcBorders>
              <w:top w:val="nil"/>
              <w:left w:val="single" w:sz="4" w:space="0" w:color="auto"/>
              <w:bottom w:val="single" w:sz="4" w:space="0" w:color="auto"/>
              <w:right w:val="nil"/>
            </w:tcBorders>
            <w:shd w:val="clear" w:color="000000" w:fill="002554"/>
            <w:vAlign w:val="center"/>
            <w:hideMark/>
          </w:tcPr>
          <w:p w14:paraId="5C99EA0D" w14:textId="77777777" w:rsidR="000604E9" w:rsidRPr="006F02A4" w:rsidRDefault="000604E9" w:rsidP="00E33E0E">
            <w:pPr>
              <w:spacing w:after="0" w:line="240" w:lineRule="auto"/>
              <w:rPr>
                <w:rFonts w:ascii="Arial" w:eastAsia="Times New Roman" w:hAnsi="Arial" w:cs="Arial"/>
                <w:b/>
                <w:bCs/>
                <w:color w:val="FFFFFF"/>
                <w:lang w:eastAsia="en-GB"/>
              </w:rPr>
            </w:pPr>
            <w:r w:rsidRPr="006F02A4">
              <w:rPr>
                <w:rFonts w:ascii="Arial" w:eastAsia="Times New Roman" w:hAnsi="Arial" w:cs="Arial"/>
                <w:b/>
                <w:bCs/>
                <w:color w:val="FFFFFF"/>
                <w:lang w:eastAsia="en-GB"/>
              </w:rPr>
              <w:t> </w:t>
            </w:r>
          </w:p>
        </w:tc>
        <w:tc>
          <w:tcPr>
            <w:tcW w:w="1580" w:type="dxa"/>
            <w:tcBorders>
              <w:top w:val="nil"/>
              <w:left w:val="nil"/>
              <w:bottom w:val="nil"/>
              <w:right w:val="nil"/>
            </w:tcBorders>
            <w:shd w:val="clear" w:color="000000" w:fill="002554"/>
            <w:vAlign w:val="center"/>
            <w:hideMark/>
          </w:tcPr>
          <w:p w14:paraId="17B4CB91" w14:textId="77777777" w:rsidR="000604E9" w:rsidRPr="006F02A4" w:rsidRDefault="000604E9" w:rsidP="00E33E0E">
            <w:pPr>
              <w:spacing w:after="0" w:line="240" w:lineRule="auto"/>
              <w:jc w:val="right"/>
              <w:rPr>
                <w:rFonts w:ascii="Arial" w:eastAsia="Times New Roman" w:hAnsi="Arial" w:cs="Arial"/>
                <w:b/>
                <w:bCs/>
                <w:color w:val="FFFFFF"/>
                <w:lang w:eastAsia="en-GB"/>
              </w:rPr>
            </w:pPr>
            <w:r w:rsidRPr="006F02A4">
              <w:rPr>
                <w:rFonts w:ascii="Arial" w:eastAsia="Times New Roman" w:hAnsi="Arial" w:cs="Arial"/>
                <w:b/>
                <w:bCs/>
                <w:color w:val="FFFFFF"/>
                <w:lang w:eastAsia="en-GB"/>
              </w:rPr>
              <w:t xml:space="preserve"> (Publicly funded)</w:t>
            </w:r>
          </w:p>
        </w:tc>
        <w:tc>
          <w:tcPr>
            <w:tcW w:w="1580" w:type="dxa"/>
            <w:tcBorders>
              <w:top w:val="nil"/>
              <w:left w:val="nil"/>
              <w:bottom w:val="nil"/>
              <w:right w:val="nil"/>
            </w:tcBorders>
            <w:shd w:val="clear" w:color="000000" w:fill="002554"/>
            <w:vAlign w:val="center"/>
            <w:hideMark/>
          </w:tcPr>
          <w:p w14:paraId="0DF24129" w14:textId="77777777" w:rsidR="000604E9" w:rsidRPr="006F02A4" w:rsidRDefault="000604E9" w:rsidP="00E33E0E">
            <w:pPr>
              <w:spacing w:after="0" w:line="240" w:lineRule="auto"/>
              <w:jc w:val="right"/>
              <w:rPr>
                <w:rFonts w:ascii="Arial" w:eastAsia="Times New Roman" w:hAnsi="Arial" w:cs="Arial"/>
                <w:b/>
                <w:bCs/>
                <w:color w:val="FFFFFF"/>
                <w:lang w:eastAsia="en-GB"/>
              </w:rPr>
            </w:pPr>
            <w:r w:rsidRPr="006F02A4">
              <w:rPr>
                <w:rFonts w:ascii="Arial" w:eastAsia="Times New Roman" w:hAnsi="Arial" w:cs="Arial"/>
                <w:b/>
                <w:bCs/>
                <w:color w:val="FFFFFF"/>
                <w:lang w:eastAsia="en-GB"/>
              </w:rPr>
              <w:t xml:space="preserve"> (Non-publicly funded)</w:t>
            </w:r>
          </w:p>
        </w:tc>
        <w:tc>
          <w:tcPr>
            <w:tcW w:w="1580" w:type="dxa"/>
            <w:tcBorders>
              <w:top w:val="nil"/>
              <w:left w:val="nil"/>
              <w:bottom w:val="nil"/>
              <w:right w:val="nil"/>
            </w:tcBorders>
            <w:shd w:val="clear" w:color="000000" w:fill="002554"/>
            <w:vAlign w:val="center"/>
            <w:hideMark/>
          </w:tcPr>
          <w:p w14:paraId="21BA8050" w14:textId="77777777" w:rsidR="000604E9" w:rsidRPr="006F02A4" w:rsidRDefault="000604E9" w:rsidP="00E33E0E">
            <w:pPr>
              <w:spacing w:after="0" w:line="240" w:lineRule="auto"/>
              <w:jc w:val="right"/>
              <w:rPr>
                <w:rFonts w:ascii="Arial" w:eastAsia="Times New Roman" w:hAnsi="Arial" w:cs="Arial"/>
                <w:b/>
                <w:bCs/>
                <w:color w:val="FFFFFF"/>
                <w:lang w:eastAsia="en-GB"/>
              </w:rPr>
            </w:pPr>
            <w:r w:rsidRPr="006F02A4">
              <w:rPr>
                <w:rFonts w:ascii="Arial" w:eastAsia="Times New Roman" w:hAnsi="Arial" w:cs="Arial"/>
                <w:b/>
                <w:bCs/>
                <w:color w:val="FFFFFF"/>
                <w:lang w:eastAsia="en-GB"/>
              </w:rPr>
              <w:t> </w:t>
            </w:r>
          </w:p>
        </w:tc>
        <w:tc>
          <w:tcPr>
            <w:tcW w:w="1580" w:type="dxa"/>
            <w:tcBorders>
              <w:top w:val="nil"/>
              <w:left w:val="nil"/>
              <w:bottom w:val="nil"/>
              <w:right w:val="nil"/>
            </w:tcBorders>
            <w:shd w:val="clear" w:color="000000" w:fill="002554"/>
            <w:vAlign w:val="center"/>
            <w:hideMark/>
          </w:tcPr>
          <w:p w14:paraId="0AD93C4E" w14:textId="77777777" w:rsidR="000604E9" w:rsidRPr="006F02A4" w:rsidRDefault="000604E9" w:rsidP="00E33E0E">
            <w:pPr>
              <w:spacing w:after="0" w:line="240" w:lineRule="auto"/>
              <w:jc w:val="right"/>
              <w:rPr>
                <w:rFonts w:ascii="Arial" w:eastAsia="Times New Roman" w:hAnsi="Arial" w:cs="Arial"/>
                <w:b/>
                <w:bCs/>
                <w:color w:val="FFFFFF"/>
                <w:lang w:eastAsia="en-GB"/>
              </w:rPr>
            </w:pPr>
            <w:r w:rsidRPr="006F02A4">
              <w:rPr>
                <w:rFonts w:ascii="Arial" w:eastAsia="Times New Roman" w:hAnsi="Arial" w:cs="Arial"/>
                <w:b/>
                <w:bCs/>
                <w:color w:val="FFFFFF"/>
                <w:lang w:eastAsia="en-GB"/>
              </w:rPr>
              <w:t xml:space="preserve"> (Income-</w:t>
            </w:r>
            <w:r w:rsidRPr="006F02A4">
              <w:rPr>
                <w:rFonts w:ascii="Arial" w:eastAsia="Times New Roman" w:hAnsi="Arial" w:cs="Arial"/>
                <w:b/>
                <w:bCs/>
                <w:strike/>
                <w:color w:val="FF0000"/>
                <w:lang w:eastAsia="en-GB"/>
              </w:rPr>
              <w:t xml:space="preserve"> </w:t>
            </w:r>
            <w:r w:rsidRPr="006F02A4">
              <w:rPr>
                <w:rFonts w:ascii="Arial" w:eastAsia="Times New Roman" w:hAnsi="Arial" w:cs="Arial"/>
                <w:b/>
                <w:bCs/>
                <w:color w:val="FFFFFF"/>
                <w:lang w:eastAsia="en-GB"/>
              </w:rPr>
              <w:t>generating)</w:t>
            </w:r>
          </w:p>
        </w:tc>
        <w:tc>
          <w:tcPr>
            <w:tcW w:w="1580" w:type="dxa"/>
            <w:tcBorders>
              <w:top w:val="nil"/>
              <w:left w:val="nil"/>
              <w:bottom w:val="nil"/>
              <w:right w:val="nil"/>
            </w:tcBorders>
            <w:shd w:val="clear" w:color="000000" w:fill="002554"/>
            <w:vAlign w:val="center"/>
            <w:hideMark/>
          </w:tcPr>
          <w:p w14:paraId="4AEB3B80" w14:textId="77777777" w:rsidR="000604E9" w:rsidRPr="006F02A4" w:rsidRDefault="000604E9" w:rsidP="00E33E0E">
            <w:pPr>
              <w:spacing w:after="0" w:line="240" w:lineRule="auto"/>
              <w:jc w:val="right"/>
              <w:rPr>
                <w:rFonts w:ascii="Arial" w:eastAsia="Times New Roman" w:hAnsi="Arial" w:cs="Arial"/>
                <w:b/>
                <w:bCs/>
                <w:color w:val="FFFFFF"/>
                <w:lang w:eastAsia="en-GB"/>
              </w:rPr>
            </w:pPr>
            <w:r w:rsidRPr="006F02A4">
              <w:rPr>
                <w:rFonts w:ascii="Arial" w:eastAsia="Times New Roman" w:hAnsi="Arial" w:cs="Arial"/>
                <w:b/>
                <w:bCs/>
                <w:color w:val="FFFFFF"/>
                <w:lang w:eastAsia="en-GB"/>
              </w:rPr>
              <w:t>(Non-commercial)</w:t>
            </w:r>
          </w:p>
        </w:tc>
        <w:tc>
          <w:tcPr>
            <w:tcW w:w="1580" w:type="dxa"/>
            <w:tcBorders>
              <w:top w:val="nil"/>
              <w:left w:val="nil"/>
              <w:bottom w:val="nil"/>
              <w:right w:val="single" w:sz="4" w:space="0" w:color="auto"/>
            </w:tcBorders>
            <w:shd w:val="clear" w:color="000000" w:fill="002554"/>
            <w:vAlign w:val="center"/>
            <w:hideMark/>
          </w:tcPr>
          <w:p w14:paraId="3D567C0F" w14:textId="77777777" w:rsidR="000604E9" w:rsidRPr="006F02A4" w:rsidRDefault="000604E9" w:rsidP="00E33E0E">
            <w:pPr>
              <w:spacing w:after="0" w:line="240" w:lineRule="auto"/>
              <w:jc w:val="right"/>
              <w:rPr>
                <w:rFonts w:ascii="Arial" w:eastAsia="Times New Roman" w:hAnsi="Arial" w:cs="Arial"/>
                <w:b/>
                <w:bCs/>
                <w:color w:val="FFFFFF"/>
                <w:lang w:eastAsia="en-GB"/>
              </w:rPr>
            </w:pPr>
            <w:r w:rsidRPr="006F02A4">
              <w:rPr>
                <w:rFonts w:ascii="Arial" w:eastAsia="Times New Roman" w:hAnsi="Arial" w:cs="Arial"/>
                <w:b/>
                <w:bCs/>
                <w:color w:val="FFFFFF"/>
                <w:lang w:eastAsia="en-GB"/>
              </w:rPr>
              <w:t> </w:t>
            </w:r>
          </w:p>
        </w:tc>
      </w:tr>
      <w:tr w:rsidR="000604E9" w:rsidRPr="006F02A4" w14:paraId="4C46941B" w14:textId="77777777" w:rsidTr="00480305">
        <w:trPr>
          <w:trHeight w:val="450"/>
        </w:trPr>
        <w:tc>
          <w:tcPr>
            <w:tcW w:w="4680" w:type="dxa"/>
            <w:tcBorders>
              <w:top w:val="nil"/>
              <w:left w:val="single" w:sz="4" w:space="0" w:color="auto"/>
              <w:bottom w:val="nil"/>
              <w:right w:val="nil"/>
            </w:tcBorders>
            <w:shd w:val="clear" w:color="auto" w:fill="auto"/>
            <w:vAlign w:val="center"/>
            <w:hideMark/>
          </w:tcPr>
          <w:p w14:paraId="35108A4C" w14:textId="7093FD1C" w:rsidR="000604E9" w:rsidRPr="006F02A4" w:rsidRDefault="00CF7117"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TRAC i</w:t>
            </w:r>
            <w:r w:rsidR="000604E9" w:rsidRPr="006F02A4">
              <w:rPr>
                <w:rFonts w:ascii="Arial" w:eastAsia="Times New Roman" w:hAnsi="Arial" w:cs="Arial"/>
                <w:lang w:eastAsia="en-GB"/>
              </w:rPr>
              <w:t>ncome</w:t>
            </w:r>
          </w:p>
        </w:tc>
        <w:tc>
          <w:tcPr>
            <w:tcW w:w="1580" w:type="dxa"/>
            <w:tcBorders>
              <w:top w:val="nil"/>
              <w:left w:val="nil"/>
              <w:bottom w:val="nil"/>
              <w:right w:val="nil"/>
            </w:tcBorders>
            <w:shd w:val="clear" w:color="auto" w:fill="auto"/>
            <w:vAlign w:val="center"/>
          </w:tcPr>
          <w:p w14:paraId="56964513"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13,707</w:t>
            </w:r>
          </w:p>
        </w:tc>
        <w:tc>
          <w:tcPr>
            <w:tcW w:w="1580" w:type="dxa"/>
            <w:tcBorders>
              <w:top w:val="nil"/>
              <w:left w:val="nil"/>
              <w:bottom w:val="nil"/>
              <w:right w:val="nil"/>
            </w:tcBorders>
            <w:shd w:val="clear" w:color="auto" w:fill="auto"/>
            <w:vAlign w:val="center"/>
          </w:tcPr>
          <w:p w14:paraId="5DE4BDF8"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6,195</w:t>
            </w:r>
          </w:p>
        </w:tc>
        <w:tc>
          <w:tcPr>
            <w:tcW w:w="1580" w:type="dxa"/>
            <w:tcBorders>
              <w:top w:val="nil"/>
              <w:left w:val="nil"/>
              <w:bottom w:val="nil"/>
              <w:right w:val="nil"/>
            </w:tcBorders>
            <w:shd w:val="clear" w:color="auto" w:fill="auto"/>
            <w:vAlign w:val="center"/>
          </w:tcPr>
          <w:p w14:paraId="2B58CBA8"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8,857</w:t>
            </w:r>
          </w:p>
        </w:tc>
        <w:tc>
          <w:tcPr>
            <w:tcW w:w="1580" w:type="dxa"/>
            <w:tcBorders>
              <w:top w:val="nil"/>
              <w:left w:val="nil"/>
              <w:bottom w:val="nil"/>
              <w:right w:val="nil"/>
            </w:tcBorders>
            <w:shd w:val="clear" w:color="auto" w:fill="auto"/>
            <w:vAlign w:val="center"/>
          </w:tcPr>
          <w:p w14:paraId="0889A97A"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5,270</w:t>
            </w:r>
          </w:p>
        </w:tc>
        <w:tc>
          <w:tcPr>
            <w:tcW w:w="1580" w:type="dxa"/>
            <w:tcBorders>
              <w:top w:val="nil"/>
              <w:left w:val="nil"/>
              <w:bottom w:val="nil"/>
              <w:right w:val="nil"/>
            </w:tcBorders>
            <w:shd w:val="clear" w:color="auto" w:fill="auto"/>
            <w:vAlign w:val="center"/>
          </w:tcPr>
          <w:p w14:paraId="24375EB3"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1,113</w:t>
            </w:r>
          </w:p>
        </w:tc>
        <w:tc>
          <w:tcPr>
            <w:tcW w:w="1580" w:type="dxa"/>
            <w:tcBorders>
              <w:top w:val="nil"/>
              <w:left w:val="nil"/>
              <w:bottom w:val="nil"/>
              <w:right w:val="single" w:sz="4" w:space="0" w:color="auto"/>
            </w:tcBorders>
            <w:shd w:val="clear" w:color="auto" w:fill="auto"/>
            <w:vAlign w:val="center"/>
          </w:tcPr>
          <w:p w14:paraId="7B38C766"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35,142</w:t>
            </w:r>
          </w:p>
        </w:tc>
      </w:tr>
      <w:tr w:rsidR="000604E9" w:rsidRPr="006F02A4" w14:paraId="16CD9343" w14:textId="77777777" w:rsidTr="00480305">
        <w:trPr>
          <w:trHeight w:val="450"/>
        </w:trPr>
        <w:tc>
          <w:tcPr>
            <w:tcW w:w="4680" w:type="dxa"/>
            <w:tcBorders>
              <w:top w:val="nil"/>
              <w:left w:val="single" w:sz="4" w:space="0" w:color="auto"/>
              <w:bottom w:val="single" w:sz="4" w:space="0" w:color="auto"/>
              <w:right w:val="nil"/>
            </w:tcBorders>
            <w:shd w:val="clear" w:color="auto" w:fill="auto"/>
            <w:vAlign w:val="center"/>
            <w:hideMark/>
          </w:tcPr>
          <w:p w14:paraId="4AACB9FB" w14:textId="77777777" w:rsidR="000604E9" w:rsidRPr="006F02A4" w:rsidRDefault="000604E9"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TRAC full economic costs</w:t>
            </w:r>
          </w:p>
        </w:tc>
        <w:tc>
          <w:tcPr>
            <w:tcW w:w="1580" w:type="dxa"/>
            <w:tcBorders>
              <w:top w:val="nil"/>
              <w:left w:val="nil"/>
              <w:bottom w:val="single" w:sz="4" w:space="0" w:color="auto"/>
              <w:right w:val="nil"/>
            </w:tcBorders>
            <w:shd w:val="clear" w:color="auto" w:fill="auto"/>
            <w:vAlign w:val="center"/>
          </w:tcPr>
          <w:p w14:paraId="5F67BAC8"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14,251</w:t>
            </w:r>
          </w:p>
        </w:tc>
        <w:tc>
          <w:tcPr>
            <w:tcW w:w="1580" w:type="dxa"/>
            <w:tcBorders>
              <w:top w:val="nil"/>
              <w:left w:val="nil"/>
              <w:bottom w:val="single" w:sz="4" w:space="0" w:color="auto"/>
              <w:right w:val="nil"/>
            </w:tcBorders>
            <w:shd w:val="clear" w:color="auto" w:fill="auto"/>
            <w:vAlign w:val="center"/>
          </w:tcPr>
          <w:p w14:paraId="29757A60"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4,202</w:t>
            </w:r>
          </w:p>
        </w:tc>
        <w:tc>
          <w:tcPr>
            <w:tcW w:w="1580" w:type="dxa"/>
            <w:tcBorders>
              <w:top w:val="nil"/>
              <w:left w:val="nil"/>
              <w:bottom w:val="single" w:sz="4" w:space="0" w:color="auto"/>
              <w:right w:val="nil"/>
            </w:tcBorders>
            <w:shd w:val="clear" w:color="auto" w:fill="auto"/>
            <w:vAlign w:val="center"/>
          </w:tcPr>
          <w:p w14:paraId="1AE4880C"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12,866</w:t>
            </w:r>
          </w:p>
        </w:tc>
        <w:tc>
          <w:tcPr>
            <w:tcW w:w="1580" w:type="dxa"/>
            <w:tcBorders>
              <w:top w:val="nil"/>
              <w:left w:val="nil"/>
              <w:bottom w:val="single" w:sz="4" w:space="0" w:color="auto"/>
              <w:right w:val="nil"/>
            </w:tcBorders>
            <w:shd w:val="clear" w:color="auto" w:fill="auto"/>
            <w:vAlign w:val="center"/>
          </w:tcPr>
          <w:p w14:paraId="4C43FFA9"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6,063</w:t>
            </w:r>
          </w:p>
        </w:tc>
        <w:tc>
          <w:tcPr>
            <w:tcW w:w="1580" w:type="dxa"/>
            <w:tcBorders>
              <w:top w:val="nil"/>
              <w:left w:val="nil"/>
              <w:bottom w:val="single" w:sz="4" w:space="0" w:color="auto"/>
              <w:right w:val="nil"/>
            </w:tcBorders>
            <w:shd w:val="clear" w:color="auto" w:fill="auto"/>
            <w:vAlign w:val="center"/>
          </w:tcPr>
          <w:p w14:paraId="67B3E549"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592</w:t>
            </w:r>
          </w:p>
        </w:tc>
        <w:tc>
          <w:tcPr>
            <w:tcW w:w="1580" w:type="dxa"/>
            <w:tcBorders>
              <w:top w:val="nil"/>
              <w:left w:val="nil"/>
              <w:bottom w:val="single" w:sz="4" w:space="0" w:color="auto"/>
              <w:right w:val="single" w:sz="4" w:space="0" w:color="auto"/>
            </w:tcBorders>
            <w:shd w:val="clear" w:color="auto" w:fill="auto"/>
            <w:vAlign w:val="center"/>
          </w:tcPr>
          <w:p w14:paraId="7B701B20"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37,975</w:t>
            </w:r>
          </w:p>
        </w:tc>
      </w:tr>
      <w:tr w:rsidR="000604E9" w:rsidRPr="006F02A4" w14:paraId="3928B405" w14:textId="77777777" w:rsidTr="00480305">
        <w:trPr>
          <w:trHeight w:val="450"/>
        </w:trPr>
        <w:tc>
          <w:tcPr>
            <w:tcW w:w="4680" w:type="dxa"/>
            <w:tcBorders>
              <w:top w:val="nil"/>
              <w:left w:val="single" w:sz="4" w:space="0" w:color="auto"/>
              <w:bottom w:val="single" w:sz="4" w:space="0" w:color="auto"/>
              <w:right w:val="nil"/>
            </w:tcBorders>
            <w:shd w:val="clear" w:color="auto" w:fill="auto"/>
            <w:vAlign w:val="center"/>
            <w:hideMark/>
          </w:tcPr>
          <w:p w14:paraId="679735E6" w14:textId="7315620E" w:rsidR="000604E9" w:rsidRPr="006F02A4" w:rsidRDefault="00985B91"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TRAC s</w:t>
            </w:r>
            <w:r w:rsidR="000604E9" w:rsidRPr="006F02A4">
              <w:rPr>
                <w:rFonts w:ascii="Arial" w:eastAsia="Times New Roman" w:hAnsi="Arial" w:cs="Arial"/>
                <w:lang w:eastAsia="en-GB"/>
              </w:rPr>
              <w:t>urplus/(deficit)</w:t>
            </w:r>
          </w:p>
        </w:tc>
        <w:tc>
          <w:tcPr>
            <w:tcW w:w="1580" w:type="dxa"/>
            <w:tcBorders>
              <w:top w:val="nil"/>
              <w:left w:val="nil"/>
              <w:bottom w:val="single" w:sz="4" w:space="0" w:color="auto"/>
              <w:right w:val="nil"/>
            </w:tcBorders>
            <w:shd w:val="clear" w:color="auto" w:fill="auto"/>
            <w:vAlign w:val="center"/>
          </w:tcPr>
          <w:p w14:paraId="2EFB9A1D"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(544)</w:t>
            </w:r>
          </w:p>
        </w:tc>
        <w:tc>
          <w:tcPr>
            <w:tcW w:w="1580" w:type="dxa"/>
            <w:tcBorders>
              <w:top w:val="nil"/>
              <w:left w:val="nil"/>
              <w:bottom w:val="single" w:sz="4" w:space="0" w:color="auto"/>
              <w:right w:val="nil"/>
            </w:tcBorders>
            <w:shd w:val="clear" w:color="auto" w:fill="auto"/>
            <w:vAlign w:val="center"/>
          </w:tcPr>
          <w:p w14:paraId="0554110C"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1,993</w:t>
            </w:r>
          </w:p>
        </w:tc>
        <w:tc>
          <w:tcPr>
            <w:tcW w:w="1580" w:type="dxa"/>
            <w:tcBorders>
              <w:top w:val="nil"/>
              <w:left w:val="nil"/>
              <w:bottom w:val="single" w:sz="4" w:space="0" w:color="auto"/>
              <w:right w:val="nil"/>
            </w:tcBorders>
            <w:shd w:val="clear" w:color="auto" w:fill="auto"/>
            <w:vAlign w:val="center"/>
          </w:tcPr>
          <w:p w14:paraId="051EA9EB"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(4,009)</w:t>
            </w:r>
          </w:p>
        </w:tc>
        <w:tc>
          <w:tcPr>
            <w:tcW w:w="1580" w:type="dxa"/>
            <w:tcBorders>
              <w:top w:val="nil"/>
              <w:left w:val="nil"/>
              <w:bottom w:val="single" w:sz="4" w:space="0" w:color="auto"/>
              <w:right w:val="nil"/>
            </w:tcBorders>
            <w:shd w:val="clear" w:color="auto" w:fill="auto"/>
            <w:vAlign w:val="center"/>
          </w:tcPr>
          <w:p w14:paraId="04694476"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(792)</w:t>
            </w:r>
          </w:p>
        </w:tc>
        <w:tc>
          <w:tcPr>
            <w:tcW w:w="1580" w:type="dxa"/>
            <w:tcBorders>
              <w:top w:val="nil"/>
              <w:left w:val="nil"/>
              <w:bottom w:val="single" w:sz="4" w:space="0" w:color="auto"/>
              <w:right w:val="nil"/>
            </w:tcBorders>
            <w:shd w:val="clear" w:color="auto" w:fill="auto"/>
            <w:vAlign w:val="center"/>
          </w:tcPr>
          <w:p w14:paraId="55741D29"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520</w:t>
            </w:r>
          </w:p>
        </w:tc>
        <w:tc>
          <w:tcPr>
            <w:tcW w:w="1580" w:type="dxa"/>
            <w:tcBorders>
              <w:top w:val="nil"/>
              <w:left w:val="nil"/>
              <w:bottom w:val="single" w:sz="4" w:space="0" w:color="auto"/>
              <w:right w:val="single" w:sz="4" w:space="0" w:color="auto"/>
            </w:tcBorders>
            <w:shd w:val="clear" w:color="auto" w:fill="auto"/>
            <w:vAlign w:val="center"/>
          </w:tcPr>
          <w:p w14:paraId="628F93DF"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(2,833)</w:t>
            </w:r>
          </w:p>
        </w:tc>
      </w:tr>
      <w:tr w:rsidR="000604E9" w:rsidRPr="006F02A4" w14:paraId="35F6A07D" w14:textId="77777777" w:rsidTr="00480305">
        <w:trPr>
          <w:trHeight w:val="450"/>
        </w:trPr>
        <w:tc>
          <w:tcPr>
            <w:tcW w:w="4680" w:type="dxa"/>
            <w:tcBorders>
              <w:top w:val="nil"/>
              <w:left w:val="single" w:sz="4" w:space="0" w:color="auto"/>
              <w:bottom w:val="nil"/>
              <w:right w:val="nil"/>
            </w:tcBorders>
            <w:shd w:val="clear" w:color="auto" w:fill="auto"/>
            <w:vAlign w:val="center"/>
            <w:hideMark/>
          </w:tcPr>
          <w:p w14:paraId="698EEDC5" w14:textId="15802D41" w:rsidR="000604E9" w:rsidRPr="006F02A4" w:rsidRDefault="00985B91"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TRAC s</w:t>
            </w:r>
            <w:r w:rsidR="000604E9" w:rsidRPr="006F02A4">
              <w:rPr>
                <w:rFonts w:ascii="Arial" w:eastAsia="Times New Roman" w:hAnsi="Arial" w:cs="Arial"/>
                <w:lang w:eastAsia="en-GB"/>
              </w:rPr>
              <w:t>urplus/(deficit) as % of income</w:t>
            </w:r>
          </w:p>
        </w:tc>
        <w:tc>
          <w:tcPr>
            <w:tcW w:w="1580" w:type="dxa"/>
            <w:tcBorders>
              <w:top w:val="nil"/>
              <w:left w:val="nil"/>
              <w:bottom w:val="nil"/>
              <w:right w:val="nil"/>
            </w:tcBorders>
            <w:shd w:val="clear" w:color="auto" w:fill="auto"/>
            <w:vAlign w:val="center"/>
          </w:tcPr>
          <w:p w14:paraId="2B44831F"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(4.0%)</w:t>
            </w:r>
          </w:p>
        </w:tc>
        <w:tc>
          <w:tcPr>
            <w:tcW w:w="1580" w:type="dxa"/>
            <w:tcBorders>
              <w:top w:val="nil"/>
              <w:left w:val="nil"/>
              <w:bottom w:val="nil"/>
              <w:right w:val="nil"/>
            </w:tcBorders>
            <w:shd w:val="clear" w:color="auto" w:fill="auto"/>
            <w:vAlign w:val="center"/>
          </w:tcPr>
          <w:p w14:paraId="7E670CF5"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32.2%</w:t>
            </w:r>
          </w:p>
        </w:tc>
        <w:tc>
          <w:tcPr>
            <w:tcW w:w="1580" w:type="dxa"/>
            <w:tcBorders>
              <w:top w:val="nil"/>
              <w:left w:val="nil"/>
              <w:bottom w:val="nil"/>
              <w:right w:val="nil"/>
            </w:tcBorders>
            <w:shd w:val="clear" w:color="auto" w:fill="auto"/>
            <w:vAlign w:val="center"/>
          </w:tcPr>
          <w:p w14:paraId="526904E5"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(45.3%)</w:t>
            </w:r>
          </w:p>
        </w:tc>
        <w:tc>
          <w:tcPr>
            <w:tcW w:w="1580" w:type="dxa"/>
            <w:tcBorders>
              <w:top w:val="nil"/>
              <w:left w:val="nil"/>
              <w:bottom w:val="nil"/>
              <w:right w:val="nil"/>
            </w:tcBorders>
            <w:shd w:val="clear" w:color="auto" w:fill="auto"/>
            <w:vAlign w:val="center"/>
          </w:tcPr>
          <w:p w14:paraId="21EDA2A1"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(15.0%)</w:t>
            </w:r>
          </w:p>
        </w:tc>
        <w:tc>
          <w:tcPr>
            <w:tcW w:w="1580" w:type="dxa"/>
            <w:tcBorders>
              <w:top w:val="nil"/>
              <w:left w:val="nil"/>
              <w:bottom w:val="nil"/>
              <w:right w:val="nil"/>
            </w:tcBorders>
            <w:shd w:val="clear" w:color="auto" w:fill="auto"/>
            <w:vAlign w:val="center"/>
          </w:tcPr>
          <w:p w14:paraId="3484C15F"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46.8%</w:t>
            </w:r>
          </w:p>
        </w:tc>
        <w:tc>
          <w:tcPr>
            <w:tcW w:w="1580" w:type="dxa"/>
            <w:tcBorders>
              <w:top w:val="nil"/>
              <w:left w:val="nil"/>
              <w:bottom w:val="nil"/>
              <w:right w:val="single" w:sz="4" w:space="0" w:color="auto"/>
            </w:tcBorders>
            <w:shd w:val="clear" w:color="auto" w:fill="auto"/>
            <w:vAlign w:val="center"/>
          </w:tcPr>
          <w:p w14:paraId="63FB2CE8"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(8.1%)</w:t>
            </w:r>
          </w:p>
        </w:tc>
      </w:tr>
      <w:tr w:rsidR="000604E9" w:rsidRPr="006F02A4" w14:paraId="636BFE1A" w14:textId="77777777" w:rsidTr="00480305">
        <w:trPr>
          <w:trHeight w:val="450"/>
        </w:trPr>
        <w:tc>
          <w:tcPr>
            <w:tcW w:w="4680" w:type="dxa"/>
            <w:tcBorders>
              <w:top w:val="nil"/>
              <w:left w:val="single" w:sz="4" w:space="0" w:color="auto"/>
              <w:bottom w:val="nil"/>
              <w:right w:val="nil"/>
            </w:tcBorders>
            <w:shd w:val="clear" w:color="auto" w:fill="auto"/>
            <w:vAlign w:val="center"/>
            <w:hideMark/>
          </w:tcPr>
          <w:p w14:paraId="5177BDF1" w14:textId="77777777" w:rsidR="000604E9" w:rsidRPr="006F02A4" w:rsidRDefault="000604E9" w:rsidP="00E33E0E">
            <w:pPr>
              <w:spacing w:after="0" w:line="240" w:lineRule="auto"/>
              <w:rPr>
                <w:rFonts w:ascii="Arial" w:eastAsia="Times New Roman" w:hAnsi="Arial" w:cs="Arial"/>
                <w:b/>
                <w:bCs/>
                <w:lang w:eastAsia="en-GB"/>
              </w:rPr>
            </w:pPr>
            <w:r w:rsidRPr="006F02A4">
              <w:rPr>
                <w:rFonts w:ascii="Arial" w:eastAsia="Times New Roman" w:hAnsi="Arial" w:cs="Arial"/>
                <w:b/>
                <w:bCs/>
                <w:lang w:eastAsia="en-GB"/>
              </w:rPr>
              <w:t>Recovery of full economic costs %</w:t>
            </w:r>
          </w:p>
        </w:tc>
        <w:tc>
          <w:tcPr>
            <w:tcW w:w="1580" w:type="dxa"/>
            <w:tcBorders>
              <w:top w:val="nil"/>
              <w:left w:val="nil"/>
              <w:bottom w:val="nil"/>
              <w:right w:val="nil"/>
            </w:tcBorders>
            <w:shd w:val="clear" w:color="auto" w:fill="auto"/>
            <w:vAlign w:val="center"/>
          </w:tcPr>
          <w:p w14:paraId="79BE9AEB" w14:textId="77777777" w:rsidR="000604E9" w:rsidRPr="006F02A4" w:rsidRDefault="000604E9" w:rsidP="00480305">
            <w:pPr>
              <w:spacing w:after="0" w:line="240" w:lineRule="auto"/>
              <w:jc w:val="right"/>
              <w:rPr>
                <w:rFonts w:ascii="Arial" w:eastAsia="Times New Roman" w:hAnsi="Arial" w:cs="Arial"/>
                <w:b/>
                <w:bCs/>
                <w:lang w:eastAsia="en-GB"/>
              </w:rPr>
            </w:pPr>
            <w:r w:rsidRPr="006F02A4">
              <w:rPr>
                <w:rFonts w:ascii="Arial" w:hAnsi="Arial" w:cs="Arial"/>
                <w:color w:val="000000"/>
              </w:rPr>
              <w:t>96.2%</w:t>
            </w:r>
          </w:p>
        </w:tc>
        <w:tc>
          <w:tcPr>
            <w:tcW w:w="1580" w:type="dxa"/>
            <w:tcBorders>
              <w:top w:val="nil"/>
              <w:left w:val="nil"/>
              <w:bottom w:val="nil"/>
              <w:right w:val="nil"/>
            </w:tcBorders>
            <w:shd w:val="clear" w:color="auto" w:fill="auto"/>
            <w:vAlign w:val="center"/>
          </w:tcPr>
          <w:p w14:paraId="204A1771" w14:textId="77777777" w:rsidR="000604E9" w:rsidRPr="006F02A4" w:rsidRDefault="000604E9" w:rsidP="00480305">
            <w:pPr>
              <w:spacing w:after="0" w:line="240" w:lineRule="auto"/>
              <w:jc w:val="right"/>
              <w:rPr>
                <w:rFonts w:ascii="Arial" w:eastAsia="Times New Roman" w:hAnsi="Arial" w:cs="Arial"/>
                <w:b/>
                <w:bCs/>
                <w:lang w:eastAsia="en-GB"/>
              </w:rPr>
            </w:pPr>
            <w:r w:rsidRPr="006F02A4">
              <w:rPr>
                <w:rFonts w:ascii="Arial" w:hAnsi="Arial" w:cs="Arial"/>
                <w:color w:val="000000"/>
              </w:rPr>
              <w:t>147.4%</w:t>
            </w:r>
          </w:p>
        </w:tc>
        <w:tc>
          <w:tcPr>
            <w:tcW w:w="1580" w:type="dxa"/>
            <w:tcBorders>
              <w:top w:val="nil"/>
              <w:left w:val="nil"/>
              <w:bottom w:val="nil"/>
              <w:right w:val="nil"/>
            </w:tcBorders>
            <w:shd w:val="clear" w:color="auto" w:fill="auto"/>
            <w:vAlign w:val="center"/>
          </w:tcPr>
          <w:p w14:paraId="55721D72" w14:textId="77777777" w:rsidR="000604E9" w:rsidRPr="006F02A4" w:rsidRDefault="000604E9" w:rsidP="00480305">
            <w:pPr>
              <w:spacing w:after="0" w:line="240" w:lineRule="auto"/>
              <w:jc w:val="right"/>
              <w:rPr>
                <w:rFonts w:ascii="Arial" w:eastAsia="Times New Roman" w:hAnsi="Arial" w:cs="Arial"/>
                <w:b/>
                <w:bCs/>
                <w:lang w:eastAsia="en-GB"/>
              </w:rPr>
            </w:pPr>
            <w:r w:rsidRPr="006F02A4">
              <w:rPr>
                <w:rFonts w:ascii="Arial" w:hAnsi="Arial" w:cs="Arial"/>
                <w:color w:val="000000"/>
              </w:rPr>
              <w:t>68.8%</w:t>
            </w:r>
          </w:p>
        </w:tc>
        <w:tc>
          <w:tcPr>
            <w:tcW w:w="1580" w:type="dxa"/>
            <w:tcBorders>
              <w:top w:val="nil"/>
              <w:left w:val="nil"/>
              <w:bottom w:val="nil"/>
              <w:right w:val="nil"/>
            </w:tcBorders>
            <w:shd w:val="clear" w:color="auto" w:fill="auto"/>
            <w:vAlign w:val="center"/>
          </w:tcPr>
          <w:p w14:paraId="15E07EA0" w14:textId="77777777" w:rsidR="000604E9" w:rsidRPr="006F02A4" w:rsidRDefault="000604E9" w:rsidP="00480305">
            <w:pPr>
              <w:spacing w:after="0" w:line="240" w:lineRule="auto"/>
              <w:jc w:val="right"/>
              <w:rPr>
                <w:rFonts w:ascii="Arial" w:eastAsia="Times New Roman" w:hAnsi="Arial" w:cs="Arial"/>
                <w:b/>
                <w:bCs/>
                <w:lang w:eastAsia="en-GB"/>
              </w:rPr>
            </w:pPr>
            <w:r w:rsidRPr="006F02A4">
              <w:rPr>
                <w:rFonts w:ascii="Arial" w:hAnsi="Arial" w:cs="Arial"/>
                <w:color w:val="000000"/>
              </w:rPr>
              <w:t>86.9%</w:t>
            </w:r>
          </w:p>
        </w:tc>
        <w:tc>
          <w:tcPr>
            <w:tcW w:w="1580" w:type="dxa"/>
            <w:tcBorders>
              <w:top w:val="nil"/>
              <w:left w:val="nil"/>
              <w:bottom w:val="nil"/>
              <w:right w:val="nil"/>
            </w:tcBorders>
            <w:shd w:val="clear" w:color="auto" w:fill="auto"/>
            <w:vAlign w:val="center"/>
          </w:tcPr>
          <w:p w14:paraId="60667C4A" w14:textId="77777777" w:rsidR="000604E9" w:rsidRPr="006F02A4" w:rsidRDefault="000604E9" w:rsidP="00480305">
            <w:pPr>
              <w:spacing w:after="0" w:line="240" w:lineRule="auto"/>
              <w:jc w:val="right"/>
              <w:rPr>
                <w:rFonts w:ascii="Arial" w:eastAsia="Times New Roman" w:hAnsi="Arial" w:cs="Arial"/>
                <w:b/>
                <w:bCs/>
                <w:lang w:eastAsia="en-GB"/>
              </w:rPr>
            </w:pPr>
            <w:r w:rsidRPr="006F02A4">
              <w:rPr>
                <w:rFonts w:ascii="Arial" w:hAnsi="Arial" w:cs="Arial"/>
                <w:color w:val="000000"/>
              </w:rPr>
              <w:t>187.9%</w:t>
            </w:r>
          </w:p>
        </w:tc>
        <w:tc>
          <w:tcPr>
            <w:tcW w:w="1580" w:type="dxa"/>
            <w:tcBorders>
              <w:top w:val="nil"/>
              <w:left w:val="nil"/>
              <w:bottom w:val="nil"/>
              <w:right w:val="single" w:sz="4" w:space="0" w:color="auto"/>
            </w:tcBorders>
            <w:shd w:val="clear" w:color="auto" w:fill="auto"/>
            <w:vAlign w:val="center"/>
          </w:tcPr>
          <w:p w14:paraId="56BB1D9D" w14:textId="77777777" w:rsidR="000604E9" w:rsidRPr="006F02A4" w:rsidRDefault="000604E9" w:rsidP="00480305">
            <w:pPr>
              <w:spacing w:after="0" w:line="240" w:lineRule="auto"/>
              <w:jc w:val="right"/>
              <w:rPr>
                <w:rFonts w:ascii="Arial" w:eastAsia="Times New Roman" w:hAnsi="Arial" w:cs="Arial"/>
                <w:b/>
                <w:bCs/>
                <w:lang w:eastAsia="en-GB"/>
              </w:rPr>
            </w:pPr>
            <w:r w:rsidRPr="006F02A4">
              <w:rPr>
                <w:rFonts w:ascii="Arial" w:hAnsi="Arial" w:cs="Arial"/>
                <w:color w:val="000000"/>
              </w:rPr>
              <w:t>92.5%</w:t>
            </w:r>
          </w:p>
        </w:tc>
      </w:tr>
      <w:tr w:rsidR="000604E9" w:rsidRPr="006F02A4" w14:paraId="231837B7" w14:textId="77777777" w:rsidTr="00480305">
        <w:trPr>
          <w:trHeight w:val="450"/>
        </w:trPr>
        <w:tc>
          <w:tcPr>
            <w:tcW w:w="4680" w:type="dxa"/>
            <w:tcBorders>
              <w:top w:val="nil"/>
              <w:left w:val="single" w:sz="4" w:space="0" w:color="auto"/>
              <w:bottom w:val="single" w:sz="4" w:space="0" w:color="auto"/>
              <w:right w:val="nil"/>
            </w:tcBorders>
            <w:shd w:val="clear" w:color="auto" w:fill="auto"/>
            <w:vAlign w:val="center"/>
            <w:hideMark/>
          </w:tcPr>
          <w:p w14:paraId="41002521" w14:textId="77777777" w:rsidR="000604E9" w:rsidRPr="006F02A4" w:rsidRDefault="000604E9"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Recovery of full economic costs % (2018-19)</w:t>
            </w:r>
          </w:p>
        </w:tc>
        <w:tc>
          <w:tcPr>
            <w:tcW w:w="1580" w:type="dxa"/>
            <w:tcBorders>
              <w:top w:val="nil"/>
              <w:left w:val="nil"/>
              <w:bottom w:val="single" w:sz="4" w:space="0" w:color="auto"/>
              <w:right w:val="nil"/>
            </w:tcBorders>
            <w:shd w:val="clear" w:color="auto" w:fill="auto"/>
            <w:vAlign w:val="center"/>
          </w:tcPr>
          <w:p w14:paraId="3D9D3C3A"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96.7%</w:t>
            </w:r>
          </w:p>
        </w:tc>
        <w:tc>
          <w:tcPr>
            <w:tcW w:w="1580" w:type="dxa"/>
            <w:tcBorders>
              <w:top w:val="nil"/>
              <w:left w:val="nil"/>
              <w:bottom w:val="single" w:sz="4" w:space="0" w:color="auto"/>
              <w:right w:val="nil"/>
            </w:tcBorders>
            <w:shd w:val="clear" w:color="auto" w:fill="auto"/>
            <w:vAlign w:val="center"/>
          </w:tcPr>
          <w:p w14:paraId="541C63B9"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144.1%</w:t>
            </w:r>
          </w:p>
        </w:tc>
        <w:tc>
          <w:tcPr>
            <w:tcW w:w="1580" w:type="dxa"/>
            <w:tcBorders>
              <w:top w:val="nil"/>
              <w:left w:val="nil"/>
              <w:bottom w:val="single" w:sz="4" w:space="0" w:color="auto"/>
              <w:right w:val="nil"/>
            </w:tcBorders>
            <w:shd w:val="clear" w:color="auto" w:fill="auto"/>
            <w:vAlign w:val="center"/>
          </w:tcPr>
          <w:p w14:paraId="602A8433"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69.6%</w:t>
            </w:r>
          </w:p>
        </w:tc>
        <w:tc>
          <w:tcPr>
            <w:tcW w:w="1580" w:type="dxa"/>
            <w:tcBorders>
              <w:top w:val="nil"/>
              <w:left w:val="nil"/>
              <w:bottom w:val="single" w:sz="4" w:space="0" w:color="auto"/>
              <w:right w:val="nil"/>
            </w:tcBorders>
            <w:shd w:val="clear" w:color="auto" w:fill="auto"/>
            <w:vAlign w:val="center"/>
          </w:tcPr>
          <w:p w14:paraId="5A1E8A1E"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103.6%</w:t>
            </w:r>
          </w:p>
        </w:tc>
        <w:tc>
          <w:tcPr>
            <w:tcW w:w="1580" w:type="dxa"/>
            <w:tcBorders>
              <w:top w:val="nil"/>
              <w:left w:val="nil"/>
              <w:bottom w:val="single" w:sz="4" w:space="0" w:color="auto"/>
              <w:right w:val="nil"/>
            </w:tcBorders>
            <w:shd w:val="clear" w:color="auto" w:fill="auto"/>
            <w:vAlign w:val="center"/>
          </w:tcPr>
          <w:p w14:paraId="60A588D3"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355.7%</w:t>
            </w:r>
          </w:p>
        </w:tc>
        <w:tc>
          <w:tcPr>
            <w:tcW w:w="1580" w:type="dxa"/>
            <w:tcBorders>
              <w:top w:val="nil"/>
              <w:left w:val="nil"/>
              <w:bottom w:val="single" w:sz="4" w:space="0" w:color="auto"/>
              <w:right w:val="single" w:sz="4" w:space="0" w:color="auto"/>
            </w:tcBorders>
            <w:shd w:val="clear" w:color="auto" w:fill="auto"/>
            <w:vAlign w:val="center"/>
          </w:tcPr>
          <w:p w14:paraId="497EDE05"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96.1%</w:t>
            </w:r>
          </w:p>
        </w:tc>
      </w:tr>
      <w:tr w:rsidR="000604E9" w:rsidRPr="006F02A4" w14:paraId="27F049D3" w14:textId="77777777" w:rsidTr="00480305">
        <w:trPr>
          <w:trHeight w:val="450"/>
        </w:trPr>
        <w:tc>
          <w:tcPr>
            <w:tcW w:w="4680" w:type="dxa"/>
            <w:tcBorders>
              <w:top w:val="nil"/>
              <w:left w:val="single" w:sz="4" w:space="0" w:color="auto"/>
              <w:bottom w:val="nil"/>
              <w:right w:val="nil"/>
            </w:tcBorders>
            <w:shd w:val="clear" w:color="auto" w:fill="auto"/>
            <w:vAlign w:val="center"/>
            <w:hideMark/>
          </w:tcPr>
          <w:p w14:paraId="731E2F69" w14:textId="77777777" w:rsidR="000604E9" w:rsidRPr="006F02A4" w:rsidRDefault="000604E9" w:rsidP="00E33E0E">
            <w:pPr>
              <w:spacing w:after="0" w:line="240" w:lineRule="auto"/>
              <w:rPr>
                <w:rFonts w:ascii="Arial" w:eastAsia="Times New Roman" w:hAnsi="Arial" w:cs="Arial"/>
                <w:b/>
                <w:bCs/>
                <w:lang w:eastAsia="en-GB"/>
              </w:rPr>
            </w:pPr>
            <w:r w:rsidRPr="006F02A4">
              <w:rPr>
                <w:rFonts w:ascii="Arial" w:eastAsia="Times New Roman" w:hAnsi="Arial" w:cs="Arial"/>
                <w:b/>
                <w:bCs/>
                <w:lang w:eastAsia="en-GB"/>
              </w:rPr>
              <w:t>Included in income</w:t>
            </w:r>
          </w:p>
        </w:tc>
        <w:tc>
          <w:tcPr>
            <w:tcW w:w="1580" w:type="dxa"/>
            <w:tcBorders>
              <w:top w:val="nil"/>
              <w:left w:val="nil"/>
              <w:bottom w:val="nil"/>
              <w:right w:val="nil"/>
            </w:tcBorders>
            <w:shd w:val="clear" w:color="auto" w:fill="auto"/>
            <w:vAlign w:val="center"/>
          </w:tcPr>
          <w:p w14:paraId="680DB75E" w14:textId="77777777" w:rsidR="000604E9" w:rsidRPr="006F02A4" w:rsidRDefault="000604E9" w:rsidP="00480305">
            <w:pPr>
              <w:spacing w:after="0" w:line="240" w:lineRule="auto"/>
              <w:jc w:val="right"/>
              <w:rPr>
                <w:rFonts w:ascii="Arial" w:eastAsia="Times New Roman" w:hAnsi="Arial" w:cs="Arial"/>
                <w:b/>
                <w:bCs/>
                <w:lang w:eastAsia="en-GB"/>
              </w:rPr>
            </w:pPr>
          </w:p>
        </w:tc>
        <w:tc>
          <w:tcPr>
            <w:tcW w:w="1580" w:type="dxa"/>
            <w:tcBorders>
              <w:top w:val="nil"/>
              <w:left w:val="nil"/>
              <w:bottom w:val="nil"/>
              <w:right w:val="nil"/>
            </w:tcBorders>
            <w:shd w:val="clear" w:color="auto" w:fill="auto"/>
            <w:vAlign w:val="center"/>
          </w:tcPr>
          <w:p w14:paraId="71408476" w14:textId="77777777" w:rsidR="000604E9" w:rsidRPr="006F02A4" w:rsidRDefault="000604E9" w:rsidP="00480305">
            <w:pPr>
              <w:spacing w:after="0" w:line="240" w:lineRule="auto"/>
              <w:jc w:val="right"/>
              <w:rPr>
                <w:rFonts w:ascii="Times New Roman" w:eastAsia="Times New Roman" w:hAnsi="Times New Roman" w:cs="Times New Roman"/>
                <w:sz w:val="20"/>
                <w:szCs w:val="20"/>
                <w:lang w:eastAsia="en-GB"/>
              </w:rPr>
            </w:pPr>
          </w:p>
        </w:tc>
        <w:tc>
          <w:tcPr>
            <w:tcW w:w="1580" w:type="dxa"/>
            <w:tcBorders>
              <w:top w:val="nil"/>
              <w:left w:val="nil"/>
              <w:bottom w:val="nil"/>
              <w:right w:val="nil"/>
            </w:tcBorders>
            <w:shd w:val="clear" w:color="auto" w:fill="auto"/>
            <w:vAlign w:val="center"/>
          </w:tcPr>
          <w:p w14:paraId="5326919C" w14:textId="77777777" w:rsidR="000604E9" w:rsidRPr="006F02A4" w:rsidRDefault="000604E9" w:rsidP="00480305">
            <w:pPr>
              <w:spacing w:after="0" w:line="240" w:lineRule="auto"/>
              <w:jc w:val="right"/>
              <w:rPr>
                <w:rFonts w:ascii="Times New Roman" w:eastAsia="Times New Roman" w:hAnsi="Times New Roman" w:cs="Times New Roman"/>
                <w:sz w:val="20"/>
                <w:szCs w:val="20"/>
                <w:lang w:eastAsia="en-GB"/>
              </w:rPr>
            </w:pPr>
          </w:p>
        </w:tc>
        <w:tc>
          <w:tcPr>
            <w:tcW w:w="1580" w:type="dxa"/>
            <w:tcBorders>
              <w:top w:val="nil"/>
              <w:left w:val="nil"/>
              <w:bottom w:val="nil"/>
              <w:right w:val="nil"/>
            </w:tcBorders>
            <w:shd w:val="clear" w:color="auto" w:fill="auto"/>
            <w:vAlign w:val="center"/>
          </w:tcPr>
          <w:p w14:paraId="09ACF97F" w14:textId="77777777" w:rsidR="000604E9" w:rsidRPr="006F02A4" w:rsidRDefault="000604E9" w:rsidP="00480305">
            <w:pPr>
              <w:spacing w:after="0" w:line="240" w:lineRule="auto"/>
              <w:jc w:val="right"/>
              <w:rPr>
                <w:rFonts w:ascii="Times New Roman" w:eastAsia="Times New Roman" w:hAnsi="Times New Roman" w:cs="Times New Roman"/>
                <w:sz w:val="20"/>
                <w:szCs w:val="20"/>
                <w:lang w:eastAsia="en-GB"/>
              </w:rPr>
            </w:pPr>
          </w:p>
        </w:tc>
        <w:tc>
          <w:tcPr>
            <w:tcW w:w="1580" w:type="dxa"/>
            <w:tcBorders>
              <w:top w:val="nil"/>
              <w:left w:val="nil"/>
              <w:bottom w:val="nil"/>
              <w:right w:val="nil"/>
            </w:tcBorders>
            <w:shd w:val="clear" w:color="auto" w:fill="auto"/>
            <w:vAlign w:val="center"/>
          </w:tcPr>
          <w:p w14:paraId="4BEC3F39" w14:textId="77777777" w:rsidR="000604E9" w:rsidRPr="006F02A4" w:rsidRDefault="000604E9" w:rsidP="00480305">
            <w:pPr>
              <w:spacing w:after="0" w:line="240" w:lineRule="auto"/>
              <w:jc w:val="right"/>
              <w:rPr>
                <w:rFonts w:ascii="Times New Roman" w:eastAsia="Times New Roman" w:hAnsi="Times New Roman" w:cs="Times New Roman"/>
                <w:sz w:val="20"/>
                <w:szCs w:val="20"/>
                <w:lang w:eastAsia="en-GB"/>
              </w:rPr>
            </w:pPr>
          </w:p>
        </w:tc>
        <w:tc>
          <w:tcPr>
            <w:tcW w:w="1580" w:type="dxa"/>
            <w:tcBorders>
              <w:top w:val="nil"/>
              <w:left w:val="nil"/>
              <w:bottom w:val="nil"/>
              <w:right w:val="single" w:sz="4" w:space="0" w:color="auto"/>
            </w:tcBorders>
            <w:shd w:val="clear" w:color="auto" w:fill="auto"/>
            <w:vAlign w:val="center"/>
          </w:tcPr>
          <w:p w14:paraId="41424F7D"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sz w:val="21"/>
                <w:szCs w:val="21"/>
              </w:rPr>
              <w:t> </w:t>
            </w:r>
          </w:p>
        </w:tc>
      </w:tr>
      <w:tr w:rsidR="000604E9" w:rsidRPr="006F02A4" w14:paraId="26FD0E81" w14:textId="77777777" w:rsidTr="00480305">
        <w:trPr>
          <w:trHeight w:val="450"/>
        </w:trPr>
        <w:tc>
          <w:tcPr>
            <w:tcW w:w="4680" w:type="dxa"/>
            <w:tcBorders>
              <w:top w:val="nil"/>
              <w:left w:val="single" w:sz="4" w:space="0" w:color="auto"/>
              <w:bottom w:val="nil"/>
              <w:right w:val="nil"/>
            </w:tcBorders>
            <w:shd w:val="clear" w:color="auto" w:fill="auto"/>
            <w:vAlign w:val="center"/>
            <w:hideMark/>
          </w:tcPr>
          <w:p w14:paraId="484CEE35" w14:textId="77777777" w:rsidR="000604E9" w:rsidRPr="006F02A4" w:rsidRDefault="000604E9"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New endowments received</w:t>
            </w:r>
          </w:p>
        </w:tc>
        <w:tc>
          <w:tcPr>
            <w:tcW w:w="1580" w:type="dxa"/>
            <w:tcBorders>
              <w:top w:val="nil"/>
              <w:left w:val="nil"/>
              <w:bottom w:val="nil"/>
              <w:right w:val="nil"/>
            </w:tcBorders>
            <w:shd w:val="clear" w:color="auto" w:fill="auto"/>
            <w:vAlign w:val="center"/>
          </w:tcPr>
          <w:p w14:paraId="4A5B36D4"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19</w:t>
            </w:r>
          </w:p>
        </w:tc>
        <w:tc>
          <w:tcPr>
            <w:tcW w:w="1580" w:type="dxa"/>
            <w:tcBorders>
              <w:top w:val="nil"/>
              <w:left w:val="nil"/>
              <w:bottom w:val="nil"/>
              <w:right w:val="nil"/>
            </w:tcBorders>
            <w:shd w:val="clear" w:color="auto" w:fill="auto"/>
            <w:vAlign w:val="center"/>
          </w:tcPr>
          <w:p w14:paraId="2853391C"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61</w:t>
            </w:r>
          </w:p>
        </w:tc>
        <w:tc>
          <w:tcPr>
            <w:tcW w:w="1580" w:type="dxa"/>
            <w:tcBorders>
              <w:top w:val="nil"/>
              <w:left w:val="nil"/>
              <w:bottom w:val="nil"/>
              <w:right w:val="nil"/>
            </w:tcBorders>
            <w:shd w:val="clear" w:color="auto" w:fill="auto"/>
            <w:vAlign w:val="center"/>
          </w:tcPr>
          <w:p w14:paraId="1BC2B5B3"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83</w:t>
            </w:r>
          </w:p>
        </w:tc>
        <w:tc>
          <w:tcPr>
            <w:tcW w:w="1580" w:type="dxa"/>
            <w:tcBorders>
              <w:top w:val="nil"/>
              <w:left w:val="nil"/>
              <w:bottom w:val="nil"/>
              <w:right w:val="nil"/>
            </w:tcBorders>
            <w:shd w:val="clear" w:color="auto" w:fill="auto"/>
            <w:vAlign w:val="center"/>
          </w:tcPr>
          <w:p w14:paraId="17C1554B"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4</w:t>
            </w:r>
          </w:p>
        </w:tc>
        <w:tc>
          <w:tcPr>
            <w:tcW w:w="1580" w:type="dxa"/>
            <w:tcBorders>
              <w:top w:val="nil"/>
              <w:left w:val="nil"/>
              <w:bottom w:val="nil"/>
              <w:right w:val="nil"/>
            </w:tcBorders>
            <w:shd w:val="clear" w:color="auto" w:fill="auto"/>
            <w:vAlign w:val="center"/>
          </w:tcPr>
          <w:p w14:paraId="6EF1D9BD"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122</w:t>
            </w:r>
          </w:p>
        </w:tc>
        <w:tc>
          <w:tcPr>
            <w:tcW w:w="1580" w:type="dxa"/>
            <w:tcBorders>
              <w:top w:val="nil"/>
              <w:left w:val="nil"/>
              <w:bottom w:val="nil"/>
              <w:right w:val="single" w:sz="4" w:space="0" w:color="auto"/>
            </w:tcBorders>
            <w:shd w:val="clear" w:color="auto" w:fill="auto"/>
            <w:vAlign w:val="center"/>
          </w:tcPr>
          <w:p w14:paraId="4F3B0A0A"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290</w:t>
            </w:r>
          </w:p>
        </w:tc>
      </w:tr>
      <w:tr w:rsidR="000604E9" w:rsidRPr="006F02A4" w14:paraId="2ADC5460" w14:textId="77777777" w:rsidTr="00480305">
        <w:trPr>
          <w:trHeight w:val="450"/>
        </w:trPr>
        <w:tc>
          <w:tcPr>
            <w:tcW w:w="4680" w:type="dxa"/>
            <w:tcBorders>
              <w:top w:val="nil"/>
              <w:left w:val="single" w:sz="4" w:space="0" w:color="auto"/>
              <w:bottom w:val="nil"/>
              <w:right w:val="nil"/>
            </w:tcBorders>
            <w:shd w:val="clear" w:color="auto" w:fill="auto"/>
            <w:vAlign w:val="center"/>
            <w:hideMark/>
          </w:tcPr>
          <w:p w14:paraId="552241C7" w14:textId="77777777" w:rsidR="000604E9" w:rsidRPr="006F02A4" w:rsidRDefault="000604E9"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New donations</w:t>
            </w:r>
          </w:p>
        </w:tc>
        <w:tc>
          <w:tcPr>
            <w:tcW w:w="1580" w:type="dxa"/>
            <w:tcBorders>
              <w:top w:val="nil"/>
              <w:left w:val="nil"/>
              <w:bottom w:val="nil"/>
              <w:right w:val="nil"/>
            </w:tcBorders>
            <w:shd w:val="clear" w:color="auto" w:fill="auto"/>
            <w:vAlign w:val="center"/>
          </w:tcPr>
          <w:p w14:paraId="1E42641C"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14</w:t>
            </w:r>
          </w:p>
        </w:tc>
        <w:tc>
          <w:tcPr>
            <w:tcW w:w="1580" w:type="dxa"/>
            <w:tcBorders>
              <w:top w:val="nil"/>
              <w:left w:val="nil"/>
              <w:bottom w:val="nil"/>
              <w:right w:val="nil"/>
            </w:tcBorders>
            <w:shd w:val="clear" w:color="auto" w:fill="auto"/>
            <w:vAlign w:val="center"/>
          </w:tcPr>
          <w:p w14:paraId="74074077"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33</w:t>
            </w:r>
          </w:p>
        </w:tc>
        <w:tc>
          <w:tcPr>
            <w:tcW w:w="1580" w:type="dxa"/>
            <w:tcBorders>
              <w:top w:val="nil"/>
              <w:left w:val="nil"/>
              <w:bottom w:val="nil"/>
              <w:right w:val="nil"/>
            </w:tcBorders>
            <w:shd w:val="clear" w:color="auto" w:fill="auto"/>
            <w:vAlign w:val="center"/>
          </w:tcPr>
          <w:p w14:paraId="5540FB35"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80</w:t>
            </w:r>
          </w:p>
        </w:tc>
        <w:tc>
          <w:tcPr>
            <w:tcW w:w="1580" w:type="dxa"/>
            <w:tcBorders>
              <w:top w:val="nil"/>
              <w:left w:val="nil"/>
              <w:bottom w:val="nil"/>
              <w:right w:val="nil"/>
            </w:tcBorders>
            <w:shd w:val="clear" w:color="auto" w:fill="auto"/>
            <w:vAlign w:val="center"/>
          </w:tcPr>
          <w:p w14:paraId="38F20256"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9</w:t>
            </w:r>
          </w:p>
        </w:tc>
        <w:tc>
          <w:tcPr>
            <w:tcW w:w="1580" w:type="dxa"/>
            <w:tcBorders>
              <w:top w:val="nil"/>
              <w:left w:val="nil"/>
              <w:bottom w:val="nil"/>
              <w:right w:val="nil"/>
            </w:tcBorders>
            <w:shd w:val="clear" w:color="auto" w:fill="auto"/>
            <w:vAlign w:val="center"/>
          </w:tcPr>
          <w:p w14:paraId="37506E2A"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122</w:t>
            </w:r>
          </w:p>
        </w:tc>
        <w:tc>
          <w:tcPr>
            <w:tcW w:w="1580" w:type="dxa"/>
            <w:tcBorders>
              <w:top w:val="nil"/>
              <w:left w:val="nil"/>
              <w:bottom w:val="nil"/>
              <w:right w:val="single" w:sz="4" w:space="0" w:color="auto"/>
            </w:tcBorders>
            <w:shd w:val="clear" w:color="auto" w:fill="auto"/>
            <w:vAlign w:val="center"/>
          </w:tcPr>
          <w:p w14:paraId="239F21B1"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257</w:t>
            </w:r>
          </w:p>
        </w:tc>
      </w:tr>
      <w:tr w:rsidR="000604E9" w:rsidRPr="006F02A4" w14:paraId="72E78916" w14:textId="77777777" w:rsidTr="00480305">
        <w:trPr>
          <w:trHeight w:val="450"/>
        </w:trPr>
        <w:tc>
          <w:tcPr>
            <w:tcW w:w="4680" w:type="dxa"/>
            <w:tcBorders>
              <w:top w:val="nil"/>
              <w:left w:val="single" w:sz="4" w:space="0" w:color="auto"/>
              <w:bottom w:val="nil"/>
              <w:right w:val="nil"/>
            </w:tcBorders>
            <w:shd w:val="clear" w:color="auto" w:fill="auto"/>
            <w:vAlign w:val="center"/>
            <w:hideMark/>
          </w:tcPr>
          <w:p w14:paraId="619DAEE1" w14:textId="77777777" w:rsidR="000604E9" w:rsidRPr="006F02A4" w:rsidRDefault="000604E9"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New government capital grants</w:t>
            </w:r>
          </w:p>
        </w:tc>
        <w:tc>
          <w:tcPr>
            <w:tcW w:w="1580" w:type="dxa"/>
            <w:tcBorders>
              <w:top w:val="nil"/>
              <w:left w:val="nil"/>
              <w:bottom w:val="nil"/>
              <w:right w:val="nil"/>
            </w:tcBorders>
            <w:shd w:val="clear" w:color="auto" w:fill="auto"/>
            <w:vAlign w:val="center"/>
          </w:tcPr>
          <w:p w14:paraId="794ADCEE"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53</w:t>
            </w:r>
          </w:p>
        </w:tc>
        <w:tc>
          <w:tcPr>
            <w:tcW w:w="1580" w:type="dxa"/>
            <w:tcBorders>
              <w:top w:val="nil"/>
              <w:left w:val="nil"/>
              <w:bottom w:val="nil"/>
              <w:right w:val="nil"/>
            </w:tcBorders>
            <w:shd w:val="clear" w:color="auto" w:fill="auto"/>
            <w:vAlign w:val="center"/>
          </w:tcPr>
          <w:p w14:paraId="480A8594"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8</w:t>
            </w:r>
          </w:p>
        </w:tc>
        <w:tc>
          <w:tcPr>
            <w:tcW w:w="1580" w:type="dxa"/>
            <w:tcBorders>
              <w:top w:val="nil"/>
              <w:left w:val="nil"/>
              <w:bottom w:val="nil"/>
              <w:right w:val="nil"/>
            </w:tcBorders>
            <w:shd w:val="clear" w:color="auto" w:fill="auto"/>
            <w:vAlign w:val="center"/>
          </w:tcPr>
          <w:p w14:paraId="56B366FD"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212</w:t>
            </w:r>
          </w:p>
        </w:tc>
        <w:tc>
          <w:tcPr>
            <w:tcW w:w="1580" w:type="dxa"/>
            <w:tcBorders>
              <w:top w:val="nil"/>
              <w:left w:val="nil"/>
              <w:bottom w:val="nil"/>
              <w:right w:val="nil"/>
            </w:tcBorders>
            <w:shd w:val="clear" w:color="auto" w:fill="auto"/>
            <w:vAlign w:val="center"/>
          </w:tcPr>
          <w:p w14:paraId="3B82EB27"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28</w:t>
            </w:r>
          </w:p>
        </w:tc>
        <w:tc>
          <w:tcPr>
            <w:tcW w:w="1580" w:type="dxa"/>
            <w:tcBorders>
              <w:top w:val="nil"/>
              <w:left w:val="nil"/>
              <w:bottom w:val="nil"/>
              <w:right w:val="nil"/>
            </w:tcBorders>
            <w:shd w:val="clear" w:color="auto" w:fill="auto"/>
            <w:vAlign w:val="center"/>
          </w:tcPr>
          <w:p w14:paraId="2883F895"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8</w:t>
            </w:r>
          </w:p>
        </w:tc>
        <w:tc>
          <w:tcPr>
            <w:tcW w:w="1580" w:type="dxa"/>
            <w:tcBorders>
              <w:top w:val="nil"/>
              <w:left w:val="nil"/>
              <w:bottom w:val="nil"/>
              <w:right w:val="single" w:sz="4" w:space="0" w:color="auto"/>
            </w:tcBorders>
            <w:shd w:val="clear" w:color="auto" w:fill="auto"/>
            <w:vAlign w:val="center"/>
          </w:tcPr>
          <w:p w14:paraId="69E4358E"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310</w:t>
            </w:r>
          </w:p>
        </w:tc>
      </w:tr>
      <w:tr w:rsidR="000604E9" w:rsidRPr="006F02A4" w14:paraId="68E952F6" w14:textId="77777777" w:rsidTr="00480305">
        <w:trPr>
          <w:trHeight w:val="450"/>
        </w:trPr>
        <w:tc>
          <w:tcPr>
            <w:tcW w:w="4680" w:type="dxa"/>
            <w:tcBorders>
              <w:top w:val="nil"/>
              <w:left w:val="single" w:sz="4" w:space="0" w:color="auto"/>
              <w:bottom w:val="nil"/>
              <w:right w:val="nil"/>
            </w:tcBorders>
            <w:shd w:val="clear" w:color="auto" w:fill="auto"/>
            <w:vAlign w:val="center"/>
            <w:hideMark/>
          </w:tcPr>
          <w:p w14:paraId="3782FE8A" w14:textId="77777777" w:rsidR="000604E9" w:rsidRPr="006F02A4" w:rsidRDefault="000604E9"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New non-government capital grants</w:t>
            </w:r>
          </w:p>
        </w:tc>
        <w:tc>
          <w:tcPr>
            <w:tcW w:w="1580" w:type="dxa"/>
            <w:tcBorders>
              <w:top w:val="nil"/>
              <w:left w:val="nil"/>
              <w:bottom w:val="nil"/>
              <w:right w:val="nil"/>
            </w:tcBorders>
            <w:shd w:val="clear" w:color="auto" w:fill="auto"/>
            <w:vAlign w:val="center"/>
          </w:tcPr>
          <w:p w14:paraId="376BBD30"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11</w:t>
            </w:r>
          </w:p>
        </w:tc>
        <w:tc>
          <w:tcPr>
            <w:tcW w:w="1580" w:type="dxa"/>
            <w:tcBorders>
              <w:top w:val="nil"/>
              <w:left w:val="nil"/>
              <w:bottom w:val="nil"/>
              <w:right w:val="nil"/>
            </w:tcBorders>
            <w:shd w:val="clear" w:color="auto" w:fill="auto"/>
            <w:vAlign w:val="center"/>
          </w:tcPr>
          <w:p w14:paraId="3B45B819"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5</w:t>
            </w:r>
          </w:p>
        </w:tc>
        <w:tc>
          <w:tcPr>
            <w:tcW w:w="1580" w:type="dxa"/>
            <w:tcBorders>
              <w:top w:val="nil"/>
              <w:left w:val="nil"/>
              <w:bottom w:val="nil"/>
              <w:right w:val="nil"/>
            </w:tcBorders>
            <w:shd w:val="clear" w:color="auto" w:fill="auto"/>
            <w:vAlign w:val="center"/>
          </w:tcPr>
          <w:p w14:paraId="7CB472DE"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28</w:t>
            </w:r>
          </w:p>
        </w:tc>
        <w:tc>
          <w:tcPr>
            <w:tcW w:w="1580" w:type="dxa"/>
            <w:tcBorders>
              <w:top w:val="nil"/>
              <w:left w:val="nil"/>
              <w:bottom w:val="nil"/>
              <w:right w:val="nil"/>
            </w:tcBorders>
            <w:shd w:val="clear" w:color="auto" w:fill="auto"/>
            <w:vAlign w:val="center"/>
          </w:tcPr>
          <w:p w14:paraId="31A79C0C"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14</w:t>
            </w:r>
          </w:p>
        </w:tc>
        <w:tc>
          <w:tcPr>
            <w:tcW w:w="1580" w:type="dxa"/>
            <w:tcBorders>
              <w:top w:val="nil"/>
              <w:left w:val="nil"/>
              <w:bottom w:val="nil"/>
              <w:right w:val="nil"/>
            </w:tcBorders>
            <w:shd w:val="clear" w:color="auto" w:fill="auto"/>
            <w:vAlign w:val="center"/>
          </w:tcPr>
          <w:p w14:paraId="061A3355"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27</w:t>
            </w:r>
          </w:p>
        </w:tc>
        <w:tc>
          <w:tcPr>
            <w:tcW w:w="1580" w:type="dxa"/>
            <w:tcBorders>
              <w:top w:val="nil"/>
              <w:left w:val="nil"/>
              <w:bottom w:val="nil"/>
              <w:right w:val="single" w:sz="4" w:space="0" w:color="auto"/>
            </w:tcBorders>
            <w:shd w:val="clear" w:color="auto" w:fill="auto"/>
            <w:vAlign w:val="center"/>
          </w:tcPr>
          <w:p w14:paraId="362FF57B"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86</w:t>
            </w:r>
          </w:p>
        </w:tc>
      </w:tr>
      <w:tr w:rsidR="000604E9" w:rsidRPr="006F02A4" w14:paraId="061D0C19" w14:textId="77777777" w:rsidTr="00480305">
        <w:trPr>
          <w:trHeight w:val="450"/>
        </w:trPr>
        <w:tc>
          <w:tcPr>
            <w:tcW w:w="4680" w:type="dxa"/>
            <w:tcBorders>
              <w:top w:val="nil"/>
              <w:left w:val="single" w:sz="4" w:space="0" w:color="auto"/>
              <w:bottom w:val="single" w:sz="4" w:space="0" w:color="auto"/>
              <w:right w:val="nil"/>
            </w:tcBorders>
            <w:shd w:val="clear" w:color="auto" w:fill="auto"/>
            <w:vAlign w:val="center"/>
            <w:hideMark/>
          </w:tcPr>
          <w:p w14:paraId="5A209B0E" w14:textId="77777777" w:rsidR="000604E9" w:rsidRPr="006F02A4" w:rsidRDefault="000604E9"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Other material items</w:t>
            </w:r>
          </w:p>
        </w:tc>
        <w:tc>
          <w:tcPr>
            <w:tcW w:w="1580" w:type="dxa"/>
            <w:tcBorders>
              <w:top w:val="nil"/>
              <w:left w:val="nil"/>
              <w:bottom w:val="single" w:sz="4" w:space="0" w:color="auto"/>
              <w:right w:val="nil"/>
            </w:tcBorders>
            <w:shd w:val="clear" w:color="auto" w:fill="auto"/>
            <w:vAlign w:val="center"/>
          </w:tcPr>
          <w:p w14:paraId="2FE9534F"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4</w:t>
            </w:r>
          </w:p>
        </w:tc>
        <w:tc>
          <w:tcPr>
            <w:tcW w:w="1580" w:type="dxa"/>
            <w:tcBorders>
              <w:top w:val="nil"/>
              <w:left w:val="nil"/>
              <w:bottom w:val="single" w:sz="4" w:space="0" w:color="auto"/>
              <w:right w:val="nil"/>
            </w:tcBorders>
            <w:shd w:val="clear" w:color="auto" w:fill="auto"/>
            <w:vAlign w:val="center"/>
          </w:tcPr>
          <w:p w14:paraId="252DD4C5" w14:textId="786203B2" w:rsidR="000604E9" w:rsidRPr="006F02A4" w:rsidRDefault="006747F6" w:rsidP="00480305">
            <w:pPr>
              <w:spacing w:after="0" w:line="240" w:lineRule="auto"/>
              <w:jc w:val="right"/>
              <w:rPr>
                <w:rFonts w:ascii="Arial" w:eastAsia="Times New Roman" w:hAnsi="Arial" w:cs="Arial"/>
                <w:lang w:eastAsia="en-GB"/>
              </w:rPr>
            </w:pPr>
            <w:r w:rsidRPr="006F02A4">
              <w:rPr>
                <w:rFonts w:ascii="Arial" w:hAnsi="Arial" w:cs="Arial"/>
                <w:color w:val="000000"/>
              </w:rPr>
              <w:t>(</w:t>
            </w:r>
            <w:r w:rsidR="000604E9" w:rsidRPr="006F02A4">
              <w:rPr>
                <w:rFonts w:ascii="Arial" w:hAnsi="Arial" w:cs="Arial"/>
                <w:color w:val="000000"/>
              </w:rPr>
              <w:t>2</w:t>
            </w:r>
            <w:r w:rsidRPr="006F02A4">
              <w:rPr>
                <w:rFonts w:ascii="Arial" w:hAnsi="Arial" w:cs="Arial"/>
                <w:color w:val="000000"/>
              </w:rPr>
              <w:t>)</w:t>
            </w:r>
          </w:p>
        </w:tc>
        <w:tc>
          <w:tcPr>
            <w:tcW w:w="1580" w:type="dxa"/>
            <w:tcBorders>
              <w:top w:val="nil"/>
              <w:left w:val="nil"/>
              <w:bottom w:val="single" w:sz="4" w:space="0" w:color="auto"/>
              <w:right w:val="nil"/>
            </w:tcBorders>
            <w:shd w:val="clear" w:color="auto" w:fill="auto"/>
            <w:vAlign w:val="center"/>
          </w:tcPr>
          <w:p w14:paraId="6A483F96"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2</w:t>
            </w:r>
          </w:p>
        </w:tc>
        <w:tc>
          <w:tcPr>
            <w:tcW w:w="1580" w:type="dxa"/>
            <w:tcBorders>
              <w:top w:val="nil"/>
              <w:left w:val="nil"/>
              <w:bottom w:val="single" w:sz="4" w:space="0" w:color="auto"/>
              <w:right w:val="nil"/>
            </w:tcBorders>
            <w:shd w:val="clear" w:color="auto" w:fill="auto"/>
            <w:vAlign w:val="center"/>
          </w:tcPr>
          <w:p w14:paraId="70BC5C45"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6</w:t>
            </w:r>
          </w:p>
        </w:tc>
        <w:tc>
          <w:tcPr>
            <w:tcW w:w="1580" w:type="dxa"/>
            <w:tcBorders>
              <w:top w:val="nil"/>
              <w:left w:val="nil"/>
              <w:bottom w:val="single" w:sz="4" w:space="0" w:color="auto"/>
              <w:right w:val="nil"/>
            </w:tcBorders>
            <w:shd w:val="clear" w:color="auto" w:fill="auto"/>
            <w:vAlign w:val="center"/>
          </w:tcPr>
          <w:p w14:paraId="052CA9CC"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2</w:t>
            </w:r>
          </w:p>
        </w:tc>
        <w:tc>
          <w:tcPr>
            <w:tcW w:w="1580" w:type="dxa"/>
            <w:tcBorders>
              <w:top w:val="nil"/>
              <w:left w:val="nil"/>
              <w:bottom w:val="single" w:sz="4" w:space="0" w:color="auto"/>
              <w:right w:val="single" w:sz="4" w:space="0" w:color="auto"/>
            </w:tcBorders>
            <w:shd w:val="clear" w:color="auto" w:fill="auto"/>
            <w:vAlign w:val="center"/>
          </w:tcPr>
          <w:p w14:paraId="1D7AABC9"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12</w:t>
            </w:r>
          </w:p>
        </w:tc>
      </w:tr>
      <w:tr w:rsidR="000604E9" w:rsidRPr="006F02A4" w14:paraId="50FB7786" w14:textId="77777777" w:rsidTr="00480305">
        <w:trPr>
          <w:trHeight w:val="450"/>
        </w:trPr>
        <w:tc>
          <w:tcPr>
            <w:tcW w:w="4680" w:type="dxa"/>
            <w:tcBorders>
              <w:top w:val="nil"/>
              <w:left w:val="single" w:sz="4" w:space="0" w:color="auto"/>
              <w:bottom w:val="single" w:sz="4" w:space="0" w:color="auto"/>
              <w:right w:val="nil"/>
            </w:tcBorders>
            <w:shd w:val="clear" w:color="auto" w:fill="auto"/>
            <w:vAlign w:val="center"/>
            <w:hideMark/>
          </w:tcPr>
          <w:p w14:paraId="2365D8E6" w14:textId="77777777" w:rsidR="000604E9" w:rsidRPr="006F02A4" w:rsidRDefault="000604E9"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Total income items</w:t>
            </w:r>
          </w:p>
        </w:tc>
        <w:tc>
          <w:tcPr>
            <w:tcW w:w="1580" w:type="dxa"/>
            <w:tcBorders>
              <w:top w:val="nil"/>
              <w:left w:val="nil"/>
              <w:bottom w:val="single" w:sz="4" w:space="0" w:color="auto"/>
              <w:right w:val="nil"/>
            </w:tcBorders>
            <w:shd w:val="clear" w:color="auto" w:fill="auto"/>
            <w:vAlign w:val="center"/>
          </w:tcPr>
          <w:p w14:paraId="153EC3C7"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101</w:t>
            </w:r>
          </w:p>
        </w:tc>
        <w:tc>
          <w:tcPr>
            <w:tcW w:w="1580" w:type="dxa"/>
            <w:tcBorders>
              <w:top w:val="nil"/>
              <w:left w:val="nil"/>
              <w:bottom w:val="single" w:sz="4" w:space="0" w:color="auto"/>
              <w:right w:val="nil"/>
            </w:tcBorders>
            <w:shd w:val="clear" w:color="auto" w:fill="auto"/>
            <w:vAlign w:val="center"/>
          </w:tcPr>
          <w:p w14:paraId="23E96311"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106</w:t>
            </w:r>
          </w:p>
        </w:tc>
        <w:tc>
          <w:tcPr>
            <w:tcW w:w="1580" w:type="dxa"/>
            <w:tcBorders>
              <w:top w:val="nil"/>
              <w:left w:val="nil"/>
              <w:bottom w:val="single" w:sz="4" w:space="0" w:color="auto"/>
              <w:right w:val="nil"/>
            </w:tcBorders>
            <w:shd w:val="clear" w:color="auto" w:fill="auto"/>
            <w:vAlign w:val="center"/>
          </w:tcPr>
          <w:p w14:paraId="4B8A3860"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405</w:t>
            </w:r>
          </w:p>
        </w:tc>
        <w:tc>
          <w:tcPr>
            <w:tcW w:w="1580" w:type="dxa"/>
            <w:tcBorders>
              <w:top w:val="nil"/>
              <w:left w:val="nil"/>
              <w:bottom w:val="single" w:sz="4" w:space="0" w:color="auto"/>
              <w:right w:val="nil"/>
            </w:tcBorders>
            <w:shd w:val="clear" w:color="auto" w:fill="auto"/>
            <w:vAlign w:val="center"/>
          </w:tcPr>
          <w:p w14:paraId="10A1935E"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62</w:t>
            </w:r>
          </w:p>
        </w:tc>
        <w:tc>
          <w:tcPr>
            <w:tcW w:w="1580" w:type="dxa"/>
            <w:tcBorders>
              <w:top w:val="nil"/>
              <w:left w:val="nil"/>
              <w:bottom w:val="single" w:sz="4" w:space="0" w:color="auto"/>
              <w:right w:val="nil"/>
            </w:tcBorders>
            <w:shd w:val="clear" w:color="auto" w:fill="auto"/>
            <w:vAlign w:val="center"/>
          </w:tcPr>
          <w:p w14:paraId="219F447B"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281</w:t>
            </w:r>
          </w:p>
        </w:tc>
        <w:tc>
          <w:tcPr>
            <w:tcW w:w="1580" w:type="dxa"/>
            <w:tcBorders>
              <w:top w:val="nil"/>
              <w:left w:val="nil"/>
              <w:bottom w:val="single" w:sz="4" w:space="0" w:color="auto"/>
              <w:right w:val="single" w:sz="4" w:space="0" w:color="auto"/>
            </w:tcBorders>
            <w:shd w:val="clear" w:color="auto" w:fill="auto"/>
            <w:vAlign w:val="center"/>
          </w:tcPr>
          <w:p w14:paraId="7612F986"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953</w:t>
            </w:r>
          </w:p>
        </w:tc>
      </w:tr>
      <w:tr w:rsidR="000604E9" w:rsidRPr="006F02A4" w14:paraId="19A5E2C6" w14:textId="77777777" w:rsidTr="00480305">
        <w:trPr>
          <w:trHeight w:val="450"/>
        </w:trPr>
        <w:tc>
          <w:tcPr>
            <w:tcW w:w="4680" w:type="dxa"/>
            <w:tcBorders>
              <w:top w:val="nil"/>
              <w:left w:val="single" w:sz="4" w:space="0" w:color="auto"/>
              <w:bottom w:val="single" w:sz="4" w:space="0" w:color="auto"/>
              <w:right w:val="nil"/>
            </w:tcBorders>
            <w:shd w:val="clear" w:color="auto" w:fill="auto"/>
            <w:vAlign w:val="center"/>
            <w:hideMark/>
          </w:tcPr>
          <w:p w14:paraId="5A25349B" w14:textId="77777777" w:rsidR="000604E9" w:rsidRPr="006F02A4" w:rsidRDefault="000604E9"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Total as % of income</w:t>
            </w:r>
          </w:p>
        </w:tc>
        <w:tc>
          <w:tcPr>
            <w:tcW w:w="1580" w:type="dxa"/>
            <w:tcBorders>
              <w:top w:val="nil"/>
              <w:left w:val="nil"/>
              <w:bottom w:val="single" w:sz="4" w:space="0" w:color="auto"/>
              <w:right w:val="nil"/>
            </w:tcBorders>
            <w:shd w:val="clear" w:color="auto" w:fill="auto"/>
            <w:vAlign w:val="center"/>
          </w:tcPr>
          <w:p w14:paraId="606011D9"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0.7%</w:t>
            </w:r>
          </w:p>
        </w:tc>
        <w:tc>
          <w:tcPr>
            <w:tcW w:w="1580" w:type="dxa"/>
            <w:tcBorders>
              <w:top w:val="nil"/>
              <w:left w:val="nil"/>
              <w:bottom w:val="single" w:sz="4" w:space="0" w:color="auto"/>
              <w:right w:val="nil"/>
            </w:tcBorders>
            <w:shd w:val="clear" w:color="auto" w:fill="auto"/>
            <w:vAlign w:val="center"/>
          </w:tcPr>
          <w:p w14:paraId="60998F1E"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1.7%</w:t>
            </w:r>
          </w:p>
        </w:tc>
        <w:tc>
          <w:tcPr>
            <w:tcW w:w="1580" w:type="dxa"/>
            <w:tcBorders>
              <w:top w:val="nil"/>
              <w:left w:val="nil"/>
              <w:bottom w:val="single" w:sz="4" w:space="0" w:color="auto"/>
              <w:right w:val="nil"/>
            </w:tcBorders>
            <w:shd w:val="clear" w:color="auto" w:fill="auto"/>
            <w:vAlign w:val="center"/>
          </w:tcPr>
          <w:p w14:paraId="7E145134"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4.6%</w:t>
            </w:r>
          </w:p>
        </w:tc>
        <w:tc>
          <w:tcPr>
            <w:tcW w:w="1580" w:type="dxa"/>
            <w:tcBorders>
              <w:top w:val="nil"/>
              <w:left w:val="nil"/>
              <w:bottom w:val="single" w:sz="4" w:space="0" w:color="auto"/>
              <w:right w:val="nil"/>
            </w:tcBorders>
            <w:shd w:val="clear" w:color="auto" w:fill="auto"/>
            <w:vAlign w:val="center"/>
          </w:tcPr>
          <w:p w14:paraId="6C7C39E4"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1.2%</w:t>
            </w:r>
          </w:p>
        </w:tc>
        <w:tc>
          <w:tcPr>
            <w:tcW w:w="1580" w:type="dxa"/>
            <w:tcBorders>
              <w:top w:val="nil"/>
              <w:left w:val="nil"/>
              <w:bottom w:val="single" w:sz="4" w:space="0" w:color="auto"/>
              <w:right w:val="nil"/>
            </w:tcBorders>
            <w:shd w:val="clear" w:color="auto" w:fill="auto"/>
            <w:vAlign w:val="center"/>
          </w:tcPr>
          <w:p w14:paraId="74C5BF5C"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25.2%</w:t>
            </w:r>
          </w:p>
        </w:tc>
        <w:tc>
          <w:tcPr>
            <w:tcW w:w="1580" w:type="dxa"/>
            <w:tcBorders>
              <w:top w:val="nil"/>
              <w:left w:val="nil"/>
              <w:bottom w:val="single" w:sz="4" w:space="0" w:color="auto"/>
              <w:right w:val="single" w:sz="4" w:space="0" w:color="auto"/>
            </w:tcBorders>
            <w:shd w:val="clear" w:color="auto" w:fill="auto"/>
            <w:vAlign w:val="center"/>
          </w:tcPr>
          <w:p w14:paraId="614B1D0A"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2.7%</w:t>
            </w:r>
          </w:p>
        </w:tc>
      </w:tr>
      <w:tr w:rsidR="000604E9" w:rsidRPr="006F02A4" w14:paraId="4AF8E1B7" w14:textId="77777777" w:rsidTr="00480305">
        <w:trPr>
          <w:trHeight w:val="450"/>
        </w:trPr>
        <w:tc>
          <w:tcPr>
            <w:tcW w:w="4680" w:type="dxa"/>
            <w:tcBorders>
              <w:top w:val="nil"/>
              <w:left w:val="single" w:sz="4" w:space="0" w:color="auto"/>
              <w:bottom w:val="single" w:sz="4" w:space="0" w:color="auto"/>
              <w:right w:val="nil"/>
            </w:tcBorders>
            <w:shd w:val="clear" w:color="auto" w:fill="auto"/>
            <w:vAlign w:val="center"/>
            <w:hideMark/>
          </w:tcPr>
          <w:p w14:paraId="0BF98D1D" w14:textId="23DB44FA" w:rsidR="000604E9" w:rsidRPr="006F02A4" w:rsidRDefault="000604E9"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 xml:space="preserve">Total as % </w:t>
            </w:r>
            <w:r w:rsidR="002B029B" w:rsidRPr="006F02A4">
              <w:rPr>
                <w:rFonts w:ascii="Arial" w:eastAsia="Times New Roman" w:hAnsi="Arial" w:cs="Arial"/>
                <w:lang w:eastAsia="en-GB"/>
              </w:rPr>
              <w:t xml:space="preserve">of </w:t>
            </w:r>
            <w:r w:rsidRPr="006F02A4">
              <w:rPr>
                <w:rFonts w:ascii="Arial" w:eastAsia="Times New Roman" w:hAnsi="Arial" w:cs="Arial"/>
                <w:lang w:eastAsia="en-GB"/>
              </w:rPr>
              <w:t>income (2018-19)</w:t>
            </w:r>
          </w:p>
        </w:tc>
        <w:tc>
          <w:tcPr>
            <w:tcW w:w="1580" w:type="dxa"/>
            <w:tcBorders>
              <w:top w:val="nil"/>
              <w:left w:val="nil"/>
              <w:bottom w:val="single" w:sz="4" w:space="0" w:color="auto"/>
              <w:right w:val="nil"/>
            </w:tcBorders>
            <w:shd w:val="clear" w:color="auto" w:fill="auto"/>
            <w:vAlign w:val="center"/>
          </w:tcPr>
          <w:p w14:paraId="7FA75A70"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0.8%</w:t>
            </w:r>
          </w:p>
        </w:tc>
        <w:tc>
          <w:tcPr>
            <w:tcW w:w="1580" w:type="dxa"/>
            <w:tcBorders>
              <w:top w:val="nil"/>
              <w:left w:val="nil"/>
              <w:bottom w:val="single" w:sz="4" w:space="0" w:color="auto"/>
              <w:right w:val="nil"/>
            </w:tcBorders>
            <w:shd w:val="clear" w:color="auto" w:fill="auto"/>
            <w:vAlign w:val="center"/>
          </w:tcPr>
          <w:p w14:paraId="524570C6"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1.7%</w:t>
            </w:r>
          </w:p>
        </w:tc>
        <w:tc>
          <w:tcPr>
            <w:tcW w:w="1580" w:type="dxa"/>
            <w:tcBorders>
              <w:top w:val="nil"/>
              <w:left w:val="nil"/>
              <w:bottom w:val="single" w:sz="4" w:space="0" w:color="auto"/>
              <w:right w:val="nil"/>
            </w:tcBorders>
            <w:shd w:val="clear" w:color="auto" w:fill="auto"/>
            <w:vAlign w:val="center"/>
          </w:tcPr>
          <w:p w14:paraId="4D043FF5"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6.3%</w:t>
            </w:r>
          </w:p>
        </w:tc>
        <w:tc>
          <w:tcPr>
            <w:tcW w:w="1580" w:type="dxa"/>
            <w:tcBorders>
              <w:top w:val="nil"/>
              <w:left w:val="nil"/>
              <w:bottom w:val="single" w:sz="4" w:space="0" w:color="auto"/>
              <w:right w:val="nil"/>
            </w:tcBorders>
            <w:shd w:val="clear" w:color="auto" w:fill="auto"/>
            <w:vAlign w:val="center"/>
          </w:tcPr>
          <w:p w14:paraId="371686A7"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1.0%</w:t>
            </w:r>
          </w:p>
        </w:tc>
        <w:tc>
          <w:tcPr>
            <w:tcW w:w="1580" w:type="dxa"/>
            <w:tcBorders>
              <w:top w:val="nil"/>
              <w:left w:val="nil"/>
              <w:bottom w:val="single" w:sz="4" w:space="0" w:color="auto"/>
              <w:right w:val="nil"/>
            </w:tcBorders>
            <w:shd w:val="clear" w:color="auto" w:fill="auto"/>
            <w:vAlign w:val="center"/>
          </w:tcPr>
          <w:p w14:paraId="763876AD"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13.7%</w:t>
            </w:r>
          </w:p>
        </w:tc>
        <w:tc>
          <w:tcPr>
            <w:tcW w:w="1580" w:type="dxa"/>
            <w:tcBorders>
              <w:top w:val="nil"/>
              <w:left w:val="nil"/>
              <w:bottom w:val="single" w:sz="4" w:space="0" w:color="auto"/>
              <w:right w:val="single" w:sz="4" w:space="0" w:color="auto"/>
            </w:tcBorders>
            <w:shd w:val="clear" w:color="auto" w:fill="auto"/>
            <w:vAlign w:val="center"/>
          </w:tcPr>
          <w:p w14:paraId="6F2DCC05" w14:textId="77777777" w:rsidR="000604E9" w:rsidRPr="006F02A4" w:rsidRDefault="000604E9" w:rsidP="00480305">
            <w:pPr>
              <w:spacing w:after="0" w:line="240" w:lineRule="auto"/>
              <w:jc w:val="right"/>
              <w:rPr>
                <w:rFonts w:ascii="Arial" w:eastAsia="Times New Roman" w:hAnsi="Arial" w:cs="Arial"/>
                <w:lang w:eastAsia="en-GB"/>
              </w:rPr>
            </w:pPr>
            <w:r w:rsidRPr="006F02A4">
              <w:rPr>
                <w:rFonts w:ascii="Arial" w:hAnsi="Arial" w:cs="Arial"/>
                <w:color w:val="000000"/>
              </w:rPr>
              <w:t>2.9%</w:t>
            </w:r>
          </w:p>
        </w:tc>
      </w:tr>
    </w:tbl>
    <w:p w14:paraId="0C71410B" w14:textId="77777777" w:rsidR="00086B31" w:rsidRPr="006F02A4" w:rsidRDefault="00086B31" w:rsidP="00AD219A">
      <w:pPr>
        <w:pStyle w:val="Heading4"/>
        <w:sectPr w:rsidR="00086B31" w:rsidRPr="006F02A4" w:rsidSect="002B029B">
          <w:pgSz w:w="16838" w:h="11906" w:orient="landscape" w:code="9"/>
          <w:pgMar w:top="1134" w:right="1134" w:bottom="1134" w:left="1134" w:header="454" w:footer="454" w:gutter="0"/>
          <w:cols w:space="708"/>
          <w:titlePg/>
          <w:docGrid w:linePitch="360"/>
        </w:sectPr>
      </w:pPr>
    </w:p>
    <w:p w14:paraId="637B4E08" w14:textId="6CBCF8CE" w:rsidR="00E52420" w:rsidRDefault="00AD219A" w:rsidP="00953D7A">
      <w:pPr>
        <w:pStyle w:val="Heading3"/>
      </w:pPr>
      <w:bookmarkStart w:id="7" w:name="_Toc78299729"/>
      <w:r w:rsidRPr="006F02A4">
        <w:lastRenderedPageBreak/>
        <w:t>Figure 1: TRAC full economic cost surplus/deficit by activity, 2019-20 (higher education institutions in England and Northern Ireland)</w:t>
      </w:r>
      <w:bookmarkEnd w:id="7"/>
    </w:p>
    <w:p w14:paraId="23649C4C" w14:textId="78955EC2" w:rsidR="00BD2270" w:rsidRPr="00BD2270" w:rsidRDefault="00BD2270" w:rsidP="00BD2270">
      <w:r>
        <w:rPr>
          <w:noProof/>
        </w:rPr>
        <w:drawing>
          <wp:inline distT="0" distB="0" distL="0" distR="0" wp14:anchorId="3435662B" wp14:editId="08B1EB3C">
            <wp:extent cx="5742940" cy="8010525"/>
            <wp:effectExtent l="0" t="0" r="0" b="9525"/>
            <wp:docPr id="3" name="Picture 3" descr="Bar chart showing TRAC full economic cost surplus/deficit by activity for 2019-20 in millions of pounds - for higher education institutions in England and Northern Ireland. Publicly funded teaching is minus 544; non publicly funded teaching is 1,993; research is minus 4,009; other income-generating activity is minus 792; other non-commercial activity is 520. The total is minus 2,833. This highlights the scale of surplus generated on non-publicly funded teaching; the substantial deficit on research activity and significant deficit for all activities in to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r chart showing TRAC full economic cost surplus/deficit by activity for 2019-20 in millions of pounds - for higher education institutions in England and Northern Ireland. Publicly funded teaching is minus 544; non publicly funded teaching is 1,993; research is minus 4,009; other income-generating activity is minus 792; other non-commercial activity is 520. The total is minus 2,833. This highlights the scale of surplus generated on non-publicly funded teaching; the substantial deficit on research activity and significant deficit for all activities in tota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2940" cy="8010525"/>
                    </a:xfrm>
                    <a:prstGeom prst="rect">
                      <a:avLst/>
                    </a:prstGeom>
                    <a:noFill/>
                  </pic:spPr>
                </pic:pic>
              </a:graphicData>
            </a:graphic>
          </wp:inline>
        </w:drawing>
      </w:r>
    </w:p>
    <w:p w14:paraId="3783BEF4" w14:textId="1E30FB1F" w:rsidR="00953D7A" w:rsidRPr="006F02A4" w:rsidRDefault="00953D7A" w:rsidP="00FA0DF3">
      <w:pPr>
        <w:pStyle w:val="Numberedtext1"/>
        <w:numPr>
          <w:ilvl w:val="0"/>
          <w:numId w:val="0"/>
        </w:numPr>
        <w:sectPr w:rsidR="00953D7A" w:rsidRPr="006F02A4" w:rsidSect="002B029B">
          <w:pgSz w:w="11906" w:h="16838" w:code="9"/>
          <w:pgMar w:top="1134" w:right="1134" w:bottom="1134" w:left="1134" w:header="454" w:footer="454" w:gutter="0"/>
          <w:cols w:space="708"/>
          <w:titlePg/>
          <w:docGrid w:linePitch="360"/>
        </w:sectPr>
      </w:pPr>
    </w:p>
    <w:p w14:paraId="500E77BB" w14:textId="793C7BFD" w:rsidR="002D6759" w:rsidRPr="006F02A4" w:rsidRDefault="002D6759" w:rsidP="002D6759">
      <w:pPr>
        <w:pStyle w:val="Numberedtext1"/>
      </w:pPr>
      <w:r w:rsidRPr="006F02A4">
        <w:lastRenderedPageBreak/>
        <w:t>Table 2 provide</w:t>
      </w:r>
      <w:r w:rsidR="002B029B" w:rsidRPr="006F02A4">
        <w:t>s</w:t>
      </w:r>
      <w:r w:rsidRPr="006F02A4">
        <w:t xml:space="preserve"> further analysis of research income and costs, analysed by research sponsor type.</w:t>
      </w:r>
      <w:r w:rsidR="00481682" w:rsidRPr="006F02A4">
        <w:t xml:space="preserve"> </w:t>
      </w:r>
      <w:r w:rsidRPr="006F02A4">
        <w:t>This shows that:</w:t>
      </w:r>
    </w:p>
    <w:p w14:paraId="56142DF4" w14:textId="25A199A1" w:rsidR="002D6759" w:rsidRPr="006F02A4" w:rsidRDefault="002D6759" w:rsidP="002B029B">
      <w:pPr>
        <w:pStyle w:val="Numberedtext1"/>
        <w:numPr>
          <w:ilvl w:val="0"/>
          <w:numId w:val="21"/>
        </w:numPr>
        <w:ind w:left="714" w:hanging="357"/>
      </w:pPr>
      <w:r w:rsidRPr="006F02A4">
        <w:t xml:space="preserve">Research council funded research activity accounted for </w:t>
      </w:r>
      <w:r w:rsidR="000224AA" w:rsidRPr="006F02A4">
        <w:t>20.0</w:t>
      </w:r>
      <w:r w:rsidRPr="006F02A4">
        <w:t xml:space="preserve"> per cent of total research costs</w:t>
      </w:r>
      <w:r w:rsidR="002B029B" w:rsidRPr="006F02A4">
        <w:t>,</w:t>
      </w:r>
      <w:r w:rsidRPr="006F02A4">
        <w:t xml:space="preserve"> with a recovery of 70.9 per cent of full economic cost, compared with 73.7 per cent in 2018-19. </w:t>
      </w:r>
    </w:p>
    <w:p w14:paraId="5F33CE7E" w14:textId="2B1F5999" w:rsidR="002D6759" w:rsidRPr="006F02A4" w:rsidRDefault="002D6759" w:rsidP="002B029B">
      <w:pPr>
        <w:pStyle w:val="Numberedtext1"/>
        <w:numPr>
          <w:ilvl w:val="0"/>
          <w:numId w:val="21"/>
        </w:numPr>
        <w:ind w:left="714" w:hanging="357"/>
      </w:pPr>
      <w:r w:rsidRPr="006F02A4">
        <w:t>Cost recovery on ‘Training and supervision of postgraduate research students’ continues to show the lowest recovery across the externally sponsored research activity, at 4</w:t>
      </w:r>
      <w:r w:rsidR="00C8017A" w:rsidRPr="006F02A4">
        <w:t>5</w:t>
      </w:r>
      <w:r w:rsidRPr="006F02A4">
        <w:t>.</w:t>
      </w:r>
      <w:r w:rsidR="00C8017A" w:rsidRPr="006F02A4">
        <w:t>9</w:t>
      </w:r>
      <w:r w:rsidRPr="006F02A4">
        <w:t xml:space="preserve"> per cent. Postgraduate full-time equivalent student numbers, as reported in TRAC, reduced</w:t>
      </w:r>
      <w:r w:rsidR="00481682" w:rsidRPr="006F02A4">
        <w:t xml:space="preserve"> </w:t>
      </w:r>
      <w:r w:rsidRPr="006F02A4">
        <w:t>by 0.8 per cent from 81,2</w:t>
      </w:r>
      <w:r w:rsidR="001C1E88" w:rsidRPr="006F02A4">
        <w:t>09</w:t>
      </w:r>
      <w:r w:rsidRPr="006F02A4">
        <w:t xml:space="preserve"> in 2018-19 to 80,</w:t>
      </w:r>
      <w:r w:rsidR="00502A68" w:rsidRPr="006F02A4">
        <w:t>591</w:t>
      </w:r>
      <w:r w:rsidR="002B029B" w:rsidRPr="006F02A4">
        <w:t>.</w:t>
      </w:r>
      <w:r w:rsidRPr="006F02A4">
        <w:rPr>
          <w:rStyle w:val="FootnoteReference"/>
        </w:rPr>
        <w:footnoteReference w:id="13"/>
      </w:r>
      <w:r w:rsidRPr="006F02A4">
        <w:t xml:space="preserve"> </w:t>
      </w:r>
    </w:p>
    <w:p w14:paraId="6185A458" w14:textId="6902125C" w:rsidR="002D6759" w:rsidRPr="006F02A4" w:rsidRDefault="002D6759" w:rsidP="002B029B">
      <w:pPr>
        <w:pStyle w:val="Numberedtext1"/>
        <w:numPr>
          <w:ilvl w:val="0"/>
          <w:numId w:val="21"/>
        </w:numPr>
        <w:ind w:left="714" w:hanging="357"/>
      </w:pPr>
      <w:r w:rsidRPr="006F02A4">
        <w:t>Quality-related research funding from Research England (RE) or Department for the Economy (Northern Ireland) (</w:t>
      </w:r>
      <w:proofErr w:type="spellStart"/>
      <w:r w:rsidRPr="006F02A4">
        <w:t>DfENI</w:t>
      </w:r>
      <w:proofErr w:type="spellEnd"/>
      <w:r w:rsidRPr="006F02A4">
        <w:t>), available to support all ‘public good’ research, totalled £1,84</w:t>
      </w:r>
      <w:r w:rsidR="00F4477D" w:rsidRPr="006F02A4">
        <w:t>0</w:t>
      </w:r>
      <w:r w:rsidRPr="006F02A4">
        <w:t xml:space="preserve"> million. </w:t>
      </w:r>
    </w:p>
    <w:p w14:paraId="5EFEA560" w14:textId="56540AEE" w:rsidR="002D6759" w:rsidRPr="006F02A4" w:rsidRDefault="002D6759" w:rsidP="002B029B">
      <w:pPr>
        <w:pStyle w:val="Numberedtext1"/>
        <w:numPr>
          <w:ilvl w:val="0"/>
          <w:numId w:val="21"/>
        </w:numPr>
        <w:ind w:left="714" w:hanging="357"/>
      </w:pPr>
      <w:r w:rsidRPr="006F02A4">
        <w:t>Recovery of costs from ‘other government departments’ was 73.7 per cent</w:t>
      </w:r>
      <w:r w:rsidR="00847523" w:rsidRPr="006F02A4">
        <w:t>,</w:t>
      </w:r>
      <w:r w:rsidRPr="006F02A4">
        <w:t xml:space="preserve"> representing a reduction in recovery from the 74.5 per cent cost recovery for 2018-19. Cost recovery from UK charities reduced from 58.7 per cent to 57.4 per cent</w:t>
      </w:r>
      <w:r w:rsidR="00C15B07" w:rsidRPr="006F02A4">
        <w:t>,</w:t>
      </w:r>
      <w:r w:rsidRPr="006F02A4">
        <w:t xml:space="preserve"> whil</w:t>
      </w:r>
      <w:r w:rsidR="00C15B07" w:rsidRPr="006F02A4">
        <w:t>e</w:t>
      </w:r>
      <w:r w:rsidRPr="006F02A4">
        <w:t xml:space="preserve"> cost recovery on ‘Industry-sponsored’ research activity (including research funded by overseas government bodies and overseas charities) reduced from 77.6 per cent to 76.1 per cent.</w:t>
      </w:r>
    </w:p>
    <w:p w14:paraId="6A1B32CF" w14:textId="76CA15BE" w:rsidR="002D6759" w:rsidRPr="006F02A4" w:rsidRDefault="002D6759" w:rsidP="002D6759">
      <w:pPr>
        <w:pStyle w:val="Numberedtext1"/>
        <w:rPr>
          <w:b/>
          <w:bCs/>
        </w:rPr>
      </w:pPr>
      <w:r w:rsidRPr="006F02A4">
        <w:t>In line with previous years, the sector continues to have a substantial level of activity that does not recover its full costs.</w:t>
      </w:r>
      <w:r w:rsidR="00481682" w:rsidRPr="006F02A4">
        <w:t xml:space="preserve"> </w:t>
      </w:r>
      <w:r w:rsidRPr="006F02A4">
        <w:t xml:space="preserve">In the latter part of the 2019-20 academic year, the impact of the COVID-19 pandemic on </w:t>
      </w:r>
      <w:r w:rsidR="00C15B07" w:rsidRPr="006F02A4">
        <w:t>higher education</w:t>
      </w:r>
      <w:r w:rsidRPr="006F02A4">
        <w:t xml:space="preserve"> institutions’ operations impacted most significantly on Other </w:t>
      </w:r>
      <w:r w:rsidR="00C15B07" w:rsidRPr="006F02A4">
        <w:t>(</w:t>
      </w:r>
      <w:r w:rsidRPr="006F02A4">
        <w:t>income</w:t>
      </w:r>
      <w:r w:rsidR="00C15B07" w:rsidRPr="006F02A4">
        <w:t>-</w:t>
      </w:r>
      <w:r w:rsidRPr="006F02A4">
        <w:t>generating</w:t>
      </w:r>
      <w:r w:rsidR="00C15B07" w:rsidRPr="006F02A4">
        <w:t>)</w:t>
      </w:r>
      <w:r w:rsidRPr="006F02A4">
        <w:t xml:space="preserve"> activities, with significant losses in income from student accommodation, catering and on-campus facilities, and conferences. </w:t>
      </w:r>
      <w:r w:rsidR="00787E3B" w:rsidRPr="006F02A4">
        <w:t>Th</w:t>
      </w:r>
      <w:r w:rsidR="004F5324" w:rsidRPr="006F02A4">
        <w:t xml:space="preserve">e data for 2019-20 should </w:t>
      </w:r>
      <w:r w:rsidR="00FE2AC2" w:rsidRPr="006F02A4">
        <w:t xml:space="preserve">be interpreted taking account of the impact of </w:t>
      </w:r>
      <w:r w:rsidR="00D32105" w:rsidRPr="006F02A4">
        <w:t>the COVID-19 pandemic across all activities</w:t>
      </w:r>
      <w:r w:rsidR="0084658B" w:rsidRPr="006F02A4">
        <w:t xml:space="preserve">. </w:t>
      </w:r>
      <w:r w:rsidR="0084658B" w:rsidRPr="006F02A4">
        <w:rPr>
          <w:b/>
          <w:bCs/>
        </w:rPr>
        <w:t>The additional information</w:t>
      </w:r>
      <w:r w:rsidR="00FD6AA4" w:rsidRPr="006F02A4">
        <w:rPr>
          <w:b/>
          <w:bCs/>
        </w:rPr>
        <w:t xml:space="preserve"> to be released </w:t>
      </w:r>
      <w:r w:rsidR="00DF7AAD" w:rsidRPr="006F02A4">
        <w:rPr>
          <w:b/>
          <w:bCs/>
        </w:rPr>
        <w:t xml:space="preserve">shortly </w:t>
      </w:r>
      <w:r w:rsidR="00FD6AA4" w:rsidRPr="006F02A4">
        <w:rPr>
          <w:b/>
          <w:bCs/>
        </w:rPr>
        <w:t xml:space="preserve">as an </w:t>
      </w:r>
      <w:r w:rsidR="00F85BBE" w:rsidRPr="006F02A4">
        <w:rPr>
          <w:b/>
          <w:bCs/>
        </w:rPr>
        <w:t>ad ho</w:t>
      </w:r>
      <w:r w:rsidR="00E01F24" w:rsidRPr="006F02A4">
        <w:rPr>
          <w:b/>
          <w:bCs/>
        </w:rPr>
        <w:t xml:space="preserve">c </w:t>
      </w:r>
      <w:r w:rsidR="00FD6AA4" w:rsidRPr="006F02A4">
        <w:rPr>
          <w:b/>
          <w:bCs/>
        </w:rPr>
        <w:t xml:space="preserve">experimental </w:t>
      </w:r>
      <w:r w:rsidR="00E01F24" w:rsidRPr="006F02A4">
        <w:rPr>
          <w:b/>
          <w:bCs/>
        </w:rPr>
        <w:t>official</w:t>
      </w:r>
      <w:r w:rsidR="00FD6AA4" w:rsidRPr="006F02A4">
        <w:rPr>
          <w:b/>
          <w:bCs/>
        </w:rPr>
        <w:t xml:space="preserve"> statistic</w:t>
      </w:r>
      <w:r w:rsidR="00DF7AAD" w:rsidRPr="006F02A4">
        <w:rPr>
          <w:b/>
          <w:bCs/>
        </w:rPr>
        <w:t xml:space="preserve"> should be used to </w:t>
      </w:r>
      <w:r w:rsidR="004015D2" w:rsidRPr="006F02A4">
        <w:rPr>
          <w:b/>
          <w:bCs/>
        </w:rPr>
        <w:t>provide context in interpreting the 2019-20</w:t>
      </w:r>
      <w:r w:rsidR="006D081B" w:rsidRPr="006F02A4">
        <w:rPr>
          <w:b/>
          <w:bCs/>
        </w:rPr>
        <w:t xml:space="preserve"> data.</w:t>
      </w:r>
    </w:p>
    <w:p w14:paraId="30790E5C" w14:textId="4F7FE100" w:rsidR="002D6759" w:rsidRPr="006F02A4" w:rsidRDefault="002D6759" w:rsidP="002D6759">
      <w:pPr>
        <w:pStyle w:val="Numberedtext1"/>
      </w:pPr>
      <w:r w:rsidRPr="006F02A4">
        <w:t xml:space="preserve">UK sector aggregate data is provided in Tables </w:t>
      </w:r>
      <w:r w:rsidR="00397A3A" w:rsidRPr="006F02A4">
        <w:t>4</w:t>
      </w:r>
      <w:r w:rsidRPr="006F02A4">
        <w:t xml:space="preserve">, </w:t>
      </w:r>
      <w:r w:rsidR="00397A3A" w:rsidRPr="006F02A4">
        <w:t>5</w:t>
      </w:r>
      <w:r w:rsidRPr="006F02A4">
        <w:t xml:space="preserve"> and </w:t>
      </w:r>
      <w:r w:rsidR="00397A3A" w:rsidRPr="006F02A4">
        <w:t>6</w:t>
      </w:r>
      <w:r w:rsidRPr="006F02A4">
        <w:t xml:space="preserve"> at Annex B.</w:t>
      </w:r>
    </w:p>
    <w:p w14:paraId="2F28AD20" w14:textId="2A862087" w:rsidR="002D6759" w:rsidRPr="006F02A4" w:rsidRDefault="002D6759" w:rsidP="002D6759">
      <w:pPr>
        <w:pStyle w:val="Numberedtext1"/>
        <w:sectPr w:rsidR="002D6759" w:rsidRPr="006F02A4" w:rsidSect="002B029B">
          <w:pgSz w:w="11906" w:h="16838" w:code="9"/>
          <w:pgMar w:top="1134" w:right="1134" w:bottom="1134" w:left="1134" w:header="454" w:footer="454" w:gutter="0"/>
          <w:cols w:space="708"/>
          <w:titlePg/>
          <w:docGrid w:linePitch="360"/>
        </w:sectPr>
      </w:pPr>
      <w:r w:rsidRPr="006F02A4">
        <w:t>Further analysis for the UK sector summarised by peer group is provided as an Excel workbook (see Annex C)</w:t>
      </w:r>
      <w:r w:rsidR="00C15B07" w:rsidRPr="006F02A4">
        <w:t>.</w:t>
      </w:r>
    </w:p>
    <w:p w14:paraId="54F32800" w14:textId="77F8CD44" w:rsidR="0091058D" w:rsidRPr="006F02A4" w:rsidRDefault="00516D93" w:rsidP="00617330">
      <w:pPr>
        <w:pStyle w:val="Heading3"/>
      </w:pPr>
      <w:bookmarkStart w:id="8" w:name="_Toc78299730"/>
      <w:r w:rsidRPr="006F02A4">
        <w:lastRenderedPageBreak/>
        <w:t>Table 2: Research income and costs by sponsor type</w:t>
      </w:r>
      <w:r w:rsidR="00C15B07" w:rsidRPr="006F02A4">
        <w:t>,</w:t>
      </w:r>
      <w:r w:rsidRPr="006F02A4">
        <w:t xml:space="preserve"> 2019-20 (</w:t>
      </w:r>
      <w:r w:rsidR="00050B55">
        <w:t>higher education institutions</w:t>
      </w:r>
      <w:r w:rsidRPr="006F02A4">
        <w:t xml:space="preserve"> in England and Northern Ireland) (figures in £M)</w:t>
      </w:r>
      <w:bookmarkEnd w:id="8"/>
    </w:p>
    <w:tbl>
      <w:tblPr>
        <w:tblW w:w="14500" w:type="dxa"/>
        <w:tblLook w:val="04A0" w:firstRow="1" w:lastRow="0" w:firstColumn="1" w:lastColumn="0" w:noHBand="0" w:noVBand="1"/>
      </w:tblPr>
      <w:tblGrid>
        <w:gridCol w:w="3202"/>
        <w:gridCol w:w="1256"/>
        <w:gridCol w:w="1280"/>
        <w:gridCol w:w="1610"/>
        <w:gridCol w:w="1216"/>
        <w:gridCol w:w="1537"/>
        <w:gridCol w:w="987"/>
        <w:gridCol w:w="1121"/>
        <w:gridCol w:w="1084"/>
        <w:gridCol w:w="1207"/>
      </w:tblGrid>
      <w:tr w:rsidR="00AD3E66" w:rsidRPr="006F02A4" w14:paraId="19052AD3" w14:textId="77777777" w:rsidTr="00E33E0E">
        <w:trPr>
          <w:trHeight w:val="1800"/>
        </w:trPr>
        <w:tc>
          <w:tcPr>
            <w:tcW w:w="3283" w:type="dxa"/>
            <w:tcBorders>
              <w:top w:val="single" w:sz="4" w:space="0" w:color="auto"/>
              <w:left w:val="single" w:sz="4" w:space="0" w:color="auto"/>
              <w:bottom w:val="single" w:sz="4" w:space="0" w:color="auto"/>
              <w:right w:val="nil"/>
            </w:tcBorders>
            <w:shd w:val="clear" w:color="000000" w:fill="002554"/>
            <w:vAlign w:val="center"/>
            <w:hideMark/>
          </w:tcPr>
          <w:p w14:paraId="1F9A2427" w14:textId="77777777" w:rsidR="00AD3E66" w:rsidRPr="006F02A4" w:rsidRDefault="00AD3E66" w:rsidP="00E33E0E">
            <w:pPr>
              <w:spacing w:after="0" w:line="240" w:lineRule="auto"/>
              <w:jc w:val="center"/>
              <w:rPr>
                <w:rFonts w:ascii="Arial" w:eastAsia="Times New Roman" w:hAnsi="Arial" w:cs="Arial"/>
                <w:b/>
                <w:bCs/>
                <w:lang w:eastAsia="en-GB"/>
              </w:rPr>
            </w:pPr>
            <w:r w:rsidRPr="006F02A4">
              <w:rPr>
                <w:rFonts w:ascii="Arial" w:eastAsia="Times New Roman" w:hAnsi="Arial" w:cs="Arial"/>
                <w:b/>
                <w:bCs/>
                <w:lang w:eastAsia="en-GB"/>
              </w:rPr>
              <w:t> </w:t>
            </w:r>
          </w:p>
        </w:tc>
        <w:tc>
          <w:tcPr>
            <w:tcW w:w="1256" w:type="dxa"/>
            <w:tcBorders>
              <w:top w:val="single" w:sz="4" w:space="0" w:color="auto"/>
              <w:left w:val="nil"/>
              <w:bottom w:val="nil"/>
              <w:right w:val="nil"/>
            </w:tcBorders>
            <w:shd w:val="clear" w:color="000000" w:fill="002554"/>
            <w:vAlign w:val="center"/>
            <w:hideMark/>
          </w:tcPr>
          <w:p w14:paraId="7769C0AF" w14:textId="77777777" w:rsidR="00AD3E66" w:rsidRPr="006F02A4" w:rsidRDefault="00AD3E66" w:rsidP="00E33E0E">
            <w:pPr>
              <w:spacing w:after="0" w:line="240" w:lineRule="auto"/>
              <w:jc w:val="right"/>
              <w:rPr>
                <w:rFonts w:ascii="Arial" w:eastAsia="Times New Roman" w:hAnsi="Arial" w:cs="Arial"/>
                <w:b/>
                <w:bCs/>
                <w:color w:val="FFFFFF"/>
                <w:lang w:eastAsia="en-GB"/>
              </w:rPr>
            </w:pPr>
            <w:r w:rsidRPr="006F02A4">
              <w:rPr>
                <w:rFonts w:ascii="Arial" w:eastAsia="Times New Roman" w:hAnsi="Arial" w:cs="Arial"/>
                <w:b/>
                <w:bCs/>
                <w:color w:val="FFFFFF"/>
                <w:lang w:eastAsia="en-GB"/>
              </w:rPr>
              <w:t xml:space="preserve">Recurrent research funding from the Funding Councils </w:t>
            </w:r>
          </w:p>
        </w:tc>
        <w:tc>
          <w:tcPr>
            <w:tcW w:w="1280" w:type="dxa"/>
            <w:tcBorders>
              <w:top w:val="single" w:sz="4" w:space="0" w:color="auto"/>
              <w:left w:val="nil"/>
              <w:bottom w:val="nil"/>
              <w:right w:val="nil"/>
            </w:tcBorders>
            <w:shd w:val="clear" w:color="000000" w:fill="002554"/>
            <w:vAlign w:val="center"/>
            <w:hideMark/>
          </w:tcPr>
          <w:p w14:paraId="2F11F595" w14:textId="77777777" w:rsidR="00AD3E66" w:rsidRPr="006F02A4" w:rsidRDefault="00AD3E66" w:rsidP="00E33E0E">
            <w:pPr>
              <w:spacing w:after="0" w:line="240" w:lineRule="auto"/>
              <w:jc w:val="right"/>
              <w:rPr>
                <w:rFonts w:ascii="Arial" w:eastAsia="Times New Roman" w:hAnsi="Arial" w:cs="Arial"/>
                <w:b/>
                <w:bCs/>
                <w:color w:val="FFFFFF"/>
                <w:lang w:eastAsia="en-GB"/>
              </w:rPr>
            </w:pPr>
            <w:r w:rsidRPr="006F02A4">
              <w:rPr>
                <w:rFonts w:ascii="Arial" w:eastAsia="Times New Roman" w:hAnsi="Arial" w:cs="Arial"/>
                <w:b/>
                <w:bCs/>
                <w:color w:val="FFFFFF"/>
                <w:lang w:eastAsia="en-GB"/>
              </w:rPr>
              <w:t>Institution own-funded</w:t>
            </w:r>
          </w:p>
        </w:tc>
        <w:tc>
          <w:tcPr>
            <w:tcW w:w="1610" w:type="dxa"/>
            <w:tcBorders>
              <w:top w:val="single" w:sz="4" w:space="0" w:color="auto"/>
              <w:left w:val="nil"/>
              <w:bottom w:val="nil"/>
              <w:right w:val="nil"/>
            </w:tcBorders>
            <w:shd w:val="clear" w:color="000000" w:fill="002554"/>
            <w:vAlign w:val="center"/>
            <w:hideMark/>
          </w:tcPr>
          <w:p w14:paraId="5F072048" w14:textId="77777777" w:rsidR="00AD3E66" w:rsidRPr="006F02A4" w:rsidRDefault="00AD3E66" w:rsidP="00E33E0E">
            <w:pPr>
              <w:spacing w:after="0" w:line="240" w:lineRule="auto"/>
              <w:jc w:val="right"/>
              <w:rPr>
                <w:rFonts w:ascii="Arial" w:eastAsia="Times New Roman" w:hAnsi="Arial" w:cs="Arial"/>
                <w:b/>
                <w:bCs/>
                <w:color w:val="FFFFFF"/>
                <w:lang w:eastAsia="en-GB"/>
              </w:rPr>
            </w:pPr>
            <w:r w:rsidRPr="006F02A4">
              <w:rPr>
                <w:rFonts w:ascii="Arial" w:eastAsia="Times New Roman" w:hAnsi="Arial" w:cs="Arial"/>
                <w:b/>
                <w:bCs/>
                <w:color w:val="FFFFFF"/>
                <w:lang w:eastAsia="en-GB"/>
              </w:rPr>
              <w:t xml:space="preserve">Training and supervision of postgraduate research students </w:t>
            </w:r>
          </w:p>
        </w:tc>
        <w:tc>
          <w:tcPr>
            <w:tcW w:w="1216" w:type="dxa"/>
            <w:tcBorders>
              <w:top w:val="single" w:sz="4" w:space="0" w:color="auto"/>
              <w:left w:val="nil"/>
              <w:bottom w:val="nil"/>
              <w:right w:val="nil"/>
            </w:tcBorders>
            <w:shd w:val="clear" w:color="000000" w:fill="002554"/>
            <w:vAlign w:val="center"/>
            <w:hideMark/>
          </w:tcPr>
          <w:p w14:paraId="2F6E4B1D" w14:textId="77777777" w:rsidR="00AD3E66" w:rsidRPr="006F02A4" w:rsidRDefault="00AD3E66" w:rsidP="00E33E0E">
            <w:pPr>
              <w:spacing w:after="0" w:line="240" w:lineRule="auto"/>
              <w:jc w:val="right"/>
              <w:rPr>
                <w:rFonts w:ascii="Arial" w:eastAsia="Times New Roman" w:hAnsi="Arial" w:cs="Arial"/>
                <w:b/>
                <w:bCs/>
                <w:color w:val="FFFFFF"/>
                <w:lang w:eastAsia="en-GB"/>
              </w:rPr>
            </w:pPr>
            <w:r w:rsidRPr="006F02A4">
              <w:rPr>
                <w:rFonts w:ascii="Arial" w:eastAsia="Times New Roman" w:hAnsi="Arial" w:cs="Arial"/>
                <w:b/>
                <w:bCs/>
                <w:color w:val="FFFFFF"/>
                <w:lang w:eastAsia="en-GB"/>
              </w:rPr>
              <w:t>Research Councils</w:t>
            </w:r>
          </w:p>
        </w:tc>
        <w:tc>
          <w:tcPr>
            <w:tcW w:w="1537" w:type="dxa"/>
            <w:tcBorders>
              <w:top w:val="single" w:sz="4" w:space="0" w:color="auto"/>
              <w:left w:val="nil"/>
              <w:bottom w:val="nil"/>
              <w:right w:val="nil"/>
            </w:tcBorders>
            <w:shd w:val="clear" w:color="000000" w:fill="002554"/>
            <w:vAlign w:val="center"/>
            <w:hideMark/>
          </w:tcPr>
          <w:p w14:paraId="35447306" w14:textId="77777777" w:rsidR="00AD3E66" w:rsidRPr="006F02A4" w:rsidRDefault="00AD3E66" w:rsidP="00E33E0E">
            <w:pPr>
              <w:spacing w:after="0" w:line="240" w:lineRule="auto"/>
              <w:jc w:val="right"/>
              <w:rPr>
                <w:rFonts w:ascii="Arial" w:eastAsia="Times New Roman" w:hAnsi="Arial" w:cs="Arial"/>
                <w:b/>
                <w:bCs/>
                <w:color w:val="FFFFFF"/>
                <w:lang w:eastAsia="en-GB"/>
              </w:rPr>
            </w:pPr>
            <w:r w:rsidRPr="006F02A4">
              <w:rPr>
                <w:rFonts w:ascii="Arial" w:eastAsia="Times New Roman" w:hAnsi="Arial" w:cs="Arial"/>
                <w:b/>
                <w:bCs/>
                <w:color w:val="FFFFFF"/>
                <w:lang w:eastAsia="en-GB"/>
              </w:rPr>
              <w:t>Other government departments</w:t>
            </w:r>
          </w:p>
        </w:tc>
        <w:tc>
          <w:tcPr>
            <w:tcW w:w="902" w:type="dxa"/>
            <w:tcBorders>
              <w:top w:val="single" w:sz="4" w:space="0" w:color="auto"/>
              <w:left w:val="nil"/>
              <w:bottom w:val="nil"/>
              <w:right w:val="nil"/>
            </w:tcBorders>
            <w:shd w:val="clear" w:color="000000" w:fill="002554"/>
            <w:vAlign w:val="center"/>
            <w:hideMark/>
          </w:tcPr>
          <w:p w14:paraId="1DFD7EB4" w14:textId="77777777" w:rsidR="00AD3E66" w:rsidRPr="006F02A4" w:rsidRDefault="00AD3E66" w:rsidP="00E33E0E">
            <w:pPr>
              <w:spacing w:after="0" w:line="240" w:lineRule="auto"/>
              <w:jc w:val="right"/>
              <w:rPr>
                <w:rFonts w:ascii="Arial" w:eastAsia="Times New Roman" w:hAnsi="Arial" w:cs="Arial"/>
                <w:b/>
                <w:bCs/>
                <w:color w:val="FFFFFF"/>
                <w:lang w:eastAsia="en-GB"/>
              </w:rPr>
            </w:pPr>
            <w:r w:rsidRPr="006F02A4">
              <w:rPr>
                <w:rFonts w:ascii="Arial" w:eastAsia="Times New Roman" w:hAnsi="Arial" w:cs="Arial"/>
                <w:b/>
                <w:bCs/>
                <w:color w:val="FFFFFF"/>
                <w:lang w:eastAsia="en-GB"/>
              </w:rPr>
              <w:t xml:space="preserve">EU </w:t>
            </w:r>
          </w:p>
        </w:tc>
        <w:tc>
          <w:tcPr>
            <w:tcW w:w="1121" w:type="dxa"/>
            <w:tcBorders>
              <w:top w:val="single" w:sz="4" w:space="0" w:color="auto"/>
              <w:left w:val="nil"/>
              <w:bottom w:val="nil"/>
              <w:right w:val="nil"/>
            </w:tcBorders>
            <w:shd w:val="clear" w:color="000000" w:fill="002554"/>
            <w:vAlign w:val="center"/>
            <w:hideMark/>
          </w:tcPr>
          <w:p w14:paraId="20F28AD8" w14:textId="77777777" w:rsidR="00AD3E66" w:rsidRPr="006F02A4" w:rsidRDefault="00AD3E66" w:rsidP="00E33E0E">
            <w:pPr>
              <w:spacing w:after="0" w:line="240" w:lineRule="auto"/>
              <w:jc w:val="right"/>
              <w:rPr>
                <w:rFonts w:ascii="Arial" w:eastAsia="Times New Roman" w:hAnsi="Arial" w:cs="Arial"/>
                <w:b/>
                <w:bCs/>
                <w:color w:val="FFFFFF"/>
                <w:lang w:eastAsia="en-GB"/>
              </w:rPr>
            </w:pPr>
            <w:r w:rsidRPr="006F02A4">
              <w:rPr>
                <w:rFonts w:ascii="Arial" w:eastAsia="Times New Roman" w:hAnsi="Arial" w:cs="Arial"/>
                <w:b/>
                <w:bCs/>
                <w:color w:val="FFFFFF"/>
                <w:lang w:eastAsia="en-GB"/>
              </w:rPr>
              <w:t>UK charities</w:t>
            </w:r>
          </w:p>
        </w:tc>
        <w:tc>
          <w:tcPr>
            <w:tcW w:w="1084" w:type="dxa"/>
            <w:tcBorders>
              <w:top w:val="single" w:sz="4" w:space="0" w:color="auto"/>
              <w:left w:val="nil"/>
              <w:bottom w:val="nil"/>
              <w:right w:val="nil"/>
            </w:tcBorders>
            <w:shd w:val="clear" w:color="000000" w:fill="002554"/>
            <w:vAlign w:val="center"/>
            <w:hideMark/>
          </w:tcPr>
          <w:p w14:paraId="13C556F0" w14:textId="77777777" w:rsidR="00AD3E66" w:rsidRPr="006F02A4" w:rsidRDefault="00AD3E66" w:rsidP="00E33E0E">
            <w:pPr>
              <w:spacing w:after="0" w:line="240" w:lineRule="auto"/>
              <w:jc w:val="right"/>
              <w:rPr>
                <w:rFonts w:ascii="Arial" w:eastAsia="Times New Roman" w:hAnsi="Arial" w:cs="Arial"/>
                <w:b/>
                <w:bCs/>
                <w:color w:val="FFFFFF"/>
                <w:lang w:eastAsia="en-GB"/>
              </w:rPr>
            </w:pPr>
            <w:r w:rsidRPr="006F02A4">
              <w:rPr>
                <w:rFonts w:ascii="Arial" w:eastAsia="Times New Roman" w:hAnsi="Arial" w:cs="Arial"/>
                <w:b/>
                <w:bCs/>
                <w:color w:val="FFFFFF"/>
                <w:lang w:eastAsia="en-GB"/>
              </w:rPr>
              <w:t xml:space="preserve">Industry </w:t>
            </w:r>
          </w:p>
        </w:tc>
        <w:tc>
          <w:tcPr>
            <w:tcW w:w="1211" w:type="dxa"/>
            <w:tcBorders>
              <w:top w:val="single" w:sz="4" w:space="0" w:color="auto"/>
              <w:left w:val="nil"/>
              <w:bottom w:val="nil"/>
              <w:right w:val="single" w:sz="4" w:space="0" w:color="auto"/>
            </w:tcBorders>
            <w:shd w:val="clear" w:color="000000" w:fill="002554"/>
            <w:vAlign w:val="center"/>
            <w:hideMark/>
          </w:tcPr>
          <w:p w14:paraId="14A50032" w14:textId="77777777" w:rsidR="00AD3E66" w:rsidRPr="006F02A4" w:rsidRDefault="00AD3E66" w:rsidP="00E33E0E">
            <w:pPr>
              <w:spacing w:after="0" w:line="240" w:lineRule="auto"/>
              <w:jc w:val="right"/>
              <w:rPr>
                <w:rFonts w:ascii="Arial" w:eastAsia="Times New Roman" w:hAnsi="Arial" w:cs="Arial"/>
                <w:b/>
                <w:bCs/>
                <w:color w:val="FFFFFF"/>
                <w:lang w:eastAsia="en-GB"/>
              </w:rPr>
            </w:pPr>
            <w:r w:rsidRPr="006F02A4">
              <w:rPr>
                <w:rFonts w:ascii="Arial" w:eastAsia="Times New Roman" w:hAnsi="Arial" w:cs="Arial"/>
                <w:b/>
                <w:bCs/>
                <w:color w:val="FFFFFF"/>
                <w:lang w:eastAsia="en-GB"/>
              </w:rPr>
              <w:t xml:space="preserve">Total research </w:t>
            </w:r>
          </w:p>
        </w:tc>
      </w:tr>
      <w:tr w:rsidR="00AD3E66" w:rsidRPr="006F02A4" w14:paraId="135BE390" w14:textId="77777777" w:rsidTr="00480305">
        <w:trPr>
          <w:trHeight w:val="405"/>
        </w:trPr>
        <w:tc>
          <w:tcPr>
            <w:tcW w:w="3283" w:type="dxa"/>
            <w:tcBorders>
              <w:top w:val="nil"/>
              <w:left w:val="single" w:sz="4" w:space="0" w:color="auto"/>
              <w:bottom w:val="nil"/>
              <w:right w:val="nil"/>
            </w:tcBorders>
            <w:shd w:val="clear" w:color="auto" w:fill="auto"/>
            <w:vAlign w:val="center"/>
            <w:hideMark/>
          </w:tcPr>
          <w:p w14:paraId="76489E04" w14:textId="41B10E2A" w:rsidR="00AD3E66" w:rsidRPr="006F02A4" w:rsidRDefault="00CF7117"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TRAC i</w:t>
            </w:r>
            <w:r w:rsidR="00AD3E66" w:rsidRPr="006F02A4">
              <w:rPr>
                <w:rFonts w:ascii="Arial" w:eastAsia="Times New Roman" w:hAnsi="Arial" w:cs="Arial"/>
                <w:lang w:eastAsia="en-GB"/>
              </w:rPr>
              <w:t>ncome</w:t>
            </w:r>
          </w:p>
        </w:tc>
        <w:tc>
          <w:tcPr>
            <w:tcW w:w="1256" w:type="dxa"/>
            <w:tcBorders>
              <w:top w:val="nil"/>
              <w:left w:val="nil"/>
              <w:bottom w:val="nil"/>
              <w:right w:val="nil"/>
            </w:tcBorders>
            <w:shd w:val="clear" w:color="auto" w:fill="auto"/>
            <w:vAlign w:val="center"/>
          </w:tcPr>
          <w:p w14:paraId="5AE2F696"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1,840</w:t>
            </w:r>
          </w:p>
        </w:tc>
        <w:tc>
          <w:tcPr>
            <w:tcW w:w="1280" w:type="dxa"/>
            <w:tcBorders>
              <w:top w:val="nil"/>
              <w:left w:val="nil"/>
              <w:bottom w:val="nil"/>
              <w:right w:val="nil"/>
            </w:tcBorders>
            <w:shd w:val="clear" w:color="auto" w:fill="auto"/>
            <w:vAlign w:val="center"/>
          </w:tcPr>
          <w:p w14:paraId="501AD180"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406</w:t>
            </w:r>
          </w:p>
        </w:tc>
        <w:tc>
          <w:tcPr>
            <w:tcW w:w="1610" w:type="dxa"/>
            <w:tcBorders>
              <w:top w:val="nil"/>
              <w:left w:val="nil"/>
              <w:bottom w:val="nil"/>
              <w:right w:val="nil"/>
            </w:tcBorders>
            <w:shd w:val="clear" w:color="auto" w:fill="auto"/>
            <w:vAlign w:val="center"/>
          </w:tcPr>
          <w:p w14:paraId="2FE402C1"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1,087</w:t>
            </w:r>
          </w:p>
        </w:tc>
        <w:tc>
          <w:tcPr>
            <w:tcW w:w="1216" w:type="dxa"/>
            <w:tcBorders>
              <w:top w:val="nil"/>
              <w:left w:val="nil"/>
              <w:bottom w:val="nil"/>
              <w:right w:val="nil"/>
            </w:tcBorders>
            <w:shd w:val="clear" w:color="auto" w:fill="auto"/>
            <w:vAlign w:val="center"/>
          </w:tcPr>
          <w:p w14:paraId="594A6520"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1,825</w:t>
            </w:r>
          </w:p>
        </w:tc>
        <w:tc>
          <w:tcPr>
            <w:tcW w:w="1537" w:type="dxa"/>
            <w:tcBorders>
              <w:top w:val="nil"/>
              <w:left w:val="nil"/>
              <w:bottom w:val="nil"/>
              <w:right w:val="nil"/>
            </w:tcBorders>
            <w:shd w:val="clear" w:color="auto" w:fill="auto"/>
            <w:vAlign w:val="center"/>
          </w:tcPr>
          <w:p w14:paraId="1616739D"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950</w:t>
            </w:r>
          </w:p>
        </w:tc>
        <w:tc>
          <w:tcPr>
            <w:tcW w:w="902" w:type="dxa"/>
            <w:tcBorders>
              <w:top w:val="nil"/>
              <w:left w:val="nil"/>
              <w:bottom w:val="nil"/>
              <w:right w:val="nil"/>
            </w:tcBorders>
            <w:shd w:val="clear" w:color="auto" w:fill="auto"/>
            <w:vAlign w:val="center"/>
          </w:tcPr>
          <w:p w14:paraId="765E1297"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588</w:t>
            </w:r>
          </w:p>
        </w:tc>
        <w:tc>
          <w:tcPr>
            <w:tcW w:w="1121" w:type="dxa"/>
            <w:tcBorders>
              <w:top w:val="nil"/>
              <w:left w:val="nil"/>
              <w:bottom w:val="nil"/>
              <w:right w:val="nil"/>
            </w:tcBorders>
            <w:shd w:val="clear" w:color="auto" w:fill="auto"/>
            <w:vAlign w:val="center"/>
          </w:tcPr>
          <w:p w14:paraId="11FC32C7"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1,059</w:t>
            </w:r>
          </w:p>
        </w:tc>
        <w:tc>
          <w:tcPr>
            <w:tcW w:w="1084" w:type="dxa"/>
            <w:tcBorders>
              <w:top w:val="nil"/>
              <w:left w:val="nil"/>
              <w:bottom w:val="nil"/>
              <w:right w:val="nil"/>
            </w:tcBorders>
            <w:shd w:val="clear" w:color="auto" w:fill="auto"/>
            <w:vAlign w:val="center"/>
          </w:tcPr>
          <w:p w14:paraId="1334C2F4"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1,101</w:t>
            </w:r>
          </w:p>
        </w:tc>
        <w:tc>
          <w:tcPr>
            <w:tcW w:w="1211" w:type="dxa"/>
            <w:tcBorders>
              <w:top w:val="nil"/>
              <w:left w:val="nil"/>
              <w:bottom w:val="nil"/>
              <w:right w:val="single" w:sz="4" w:space="0" w:color="auto"/>
            </w:tcBorders>
            <w:shd w:val="clear" w:color="auto" w:fill="auto"/>
            <w:vAlign w:val="center"/>
          </w:tcPr>
          <w:p w14:paraId="6A27C921"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8,857</w:t>
            </w:r>
          </w:p>
        </w:tc>
      </w:tr>
      <w:tr w:rsidR="00AD3E66" w:rsidRPr="006F02A4" w14:paraId="3F602B0C" w14:textId="77777777" w:rsidTr="00480305">
        <w:trPr>
          <w:trHeight w:val="405"/>
        </w:trPr>
        <w:tc>
          <w:tcPr>
            <w:tcW w:w="3283" w:type="dxa"/>
            <w:tcBorders>
              <w:top w:val="nil"/>
              <w:left w:val="single" w:sz="4" w:space="0" w:color="auto"/>
              <w:bottom w:val="single" w:sz="4" w:space="0" w:color="auto"/>
              <w:right w:val="nil"/>
            </w:tcBorders>
            <w:shd w:val="clear" w:color="auto" w:fill="auto"/>
            <w:vAlign w:val="center"/>
            <w:hideMark/>
          </w:tcPr>
          <w:p w14:paraId="4735C65B" w14:textId="77777777" w:rsidR="00AD3E66" w:rsidRPr="006F02A4" w:rsidRDefault="00AD3E66"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TRAC full economic costs</w:t>
            </w:r>
          </w:p>
        </w:tc>
        <w:tc>
          <w:tcPr>
            <w:tcW w:w="1256" w:type="dxa"/>
            <w:tcBorders>
              <w:top w:val="nil"/>
              <w:left w:val="nil"/>
              <w:bottom w:val="single" w:sz="4" w:space="0" w:color="auto"/>
              <w:right w:val="nil"/>
            </w:tcBorders>
            <w:shd w:val="clear" w:color="000000" w:fill="D9D9D9"/>
            <w:vAlign w:val="center"/>
          </w:tcPr>
          <w:p w14:paraId="75076FFD"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 </w:t>
            </w:r>
          </w:p>
        </w:tc>
        <w:tc>
          <w:tcPr>
            <w:tcW w:w="1280" w:type="dxa"/>
            <w:tcBorders>
              <w:top w:val="nil"/>
              <w:left w:val="nil"/>
              <w:bottom w:val="single" w:sz="4" w:space="0" w:color="auto"/>
              <w:right w:val="nil"/>
            </w:tcBorders>
            <w:shd w:val="clear" w:color="auto" w:fill="auto"/>
            <w:vAlign w:val="center"/>
          </w:tcPr>
          <w:p w14:paraId="3960426F"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2,392</w:t>
            </w:r>
          </w:p>
        </w:tc>
        <w:tc>
          <w:tcPr>
            <w:tcW w:w="1610" w:type="dxa"/>
            <w:tcBorders>
              <w:top w:val="nil"/>
              <w:left w:val="nil"/>
              <w:bottom w:val="single" w:sz="4" w:space="0" w:color="auto"/>
              <w:right w:val="nil"/>
            </w:tcBorders>
            <w:shd w:val="clear" w:color="auto" w:fill="auto"/>
            <w:vAlign w:val="center"/>
          </w:tcPr>
          <w:p w14:paraId="3CE16A2D"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2,368</w:t>
            </w:r>
          </w:p>
        </w:tc>
        <w:tc>
          <w:tcPr>
            <w:tcW w:w="1216" w:type="dxa"/>
            <w:tcBorders>
              <w:top w:val="nil"/>
              <w:left w:val="nil"/>
              <w:bottom w:val="single" w:sz="4" w:space="0" w:color="auto"/>
              <w:right w:val="nil"/>
            </w:tcBorders>
            <w:shd w:val="clear" w:color="auto" w:fill="auto"/>
            <w:vAlign w:val="center"/>
          </w:tcPr>
          <w:p w14:paraId="2EB30FA0"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2,575</w:t>
            </w:r>
          </w:p>
        </w:tc>
        <w:tc>
          <w:tcPr>
            <w:tcW w:w="1537" w:type="dxa"/>
            <w:tcBorders>
              <w:top w:val="nil"/>
              <w:left w:val="nil"/>
              <w:bottom w:val="single" w:sz="4" w:space="0" w:color="auto"/>
              <w:right w:val="nil"/>
            </w:tcBorders>
            <w:shd w:val="clear" w:color="auto" w:fill="auto"/>
            <w:vAlign w:val="center"/>
          </w:tcPr>
          <w:p w14:paraId="266B2759"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1,289</w:t>
            </w:r>
          </w:p>
        </w:tc>
        <w:tc>
          <w:tcPr>
            <w:tcW w:w="902" w:type="dxa"/>
            <w:tcBorders>
              <w:top w:val="nil"/>
              <w:left w:val="nil"/>
              <w:bottom w:val="single" w:sz="4" w:space="0" w:color="auto"/>
              <w:right w:val="nil"/>
            </w:tcBorders>
            <w:shd w:val="clear" w:color="auto" w:fill="auto"/>
            <w:vAlign w:val="center"/>
          </w:tcPr>
          <w:p w14:paraId="77D139FA"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948</w:t>
            </w:r>
          </w:p>
        </w:tc>
        <w:tc>
          <w:tcPr>
            <w:tcW w:w="1121" w:type="dxa"/>
            <w:tcBorders>
              <w:top w:val="nil"/>
              <w:left w:val="nil"/>
              <w:bottom w:val="single" w:sz="4" w:space="0" w:color="auto"/>
              <w:right w:val="nil"/>
            </w:tcBorders>
            <w:shd w:val="clear" w:color="auto" w:fill="auto"/>
            <w:vAlign w:val="center"/>
          </w:tcPr>
          <w:p w14:paraId="30AA11F3"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1,847</w:t>
            </w:r>
          </w:p>
        </w:tc>
        <w:tc>
          <w:tcPr>
            <w:tcW w:w="1084" w:type="dxa"/>
            <w:tcBorders>
              <w:top w:val="nil"/>
              <w:left w:val="nil"/>
              <w:bottom w:val="single" w:sz="4" w:space="0" w:color="auto"/>
              <w:right w:val="nil"/>
            </w:tcBorders>
            <w:shd w:val="clear" w:color="auto" w:fill="auto"/>
            <w:vAlign w:val="center"/>
          </w:tcPr>
          <w:p w14:paraId="077F60F0"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1,447</w:t>
            </w:r>
          </w:p>
        </w:tc>
        <w:tc>
          <w:tcPr>
            <w:tcW w:w="1211" w:type="dxa"/>
            <w:tcBorders>
              <w:top w:val="nil"/>
              <w:left w:val="nil"/>
              <w:bottom w:val="single" w:sz="4" w:space="0" w:color="auto"/>
              <w:right w:val="single" w:sz="4" w:space="0" w:color="auto"/>
            </w:tcBorders>
            <w:shd w:val="clear" w:color="auto" w:fill="auto"/>
            <w:vAlign w:val="center"/>
          </w:tcPr>
          <w:p w14:paraId="3CB67981"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12,866</w:t>
            </w:r>
          </w:p>
        </w:tc>
      </w:tr>
      <w:tr w:rsidR="00AD3E66" w:rsidRPr="006F02A4" w14:paraId="76E9D30B" w14:textId="77777777" w:rsidTr="00480305">
        <w:trPr>
          <w:trHeight w:val="405"/>
        </w:trPr>
        <w:tc>
          <w:tcPr>
            <w:tcW w:w="3283" w:type="dxa"/>
            <w:tcBorders>
              <w:top w:val="nil"/>
              <w:left w:val="single" w:sz="4" w:space="0" w:color="auto"/>
              <w:bottom w:val="single" w:sz="4" w:space="0" w:color="auto"/>
              <w:right w:val="nil"/>
            </w:tcBorders>
            <w:shd w:val="clear" w:color="auto" w:fill="auto"/>
            <w:vAlign w:val="center"/>
            <w:hideMark/>
          </w:tcPr>
          <w:p w14:paraId="67603563" w14:textId="63DA282C" w:rsidR="00AD3E66" w:rsidRPr="006F02A4" w:rsidRDefault="003C5DD6"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 xml:space="preserve">TRAC </w:t>
            </w:r>
            <w:r w:rsidR="00715EB6" w:rsidRPr="006F02A4">
              <w:rPr>
                <w:rFonts w:ascii="Arial" w:eastAsia="Times New Roman" w:hAnsi="Arial" w:cs="Arial"/>
                <w:lang w:eastAsia="en-GB"/>
              </w:rPr>
              <w:t>s</w:t>
            </w:r>
            <w:r w:rsidR="00AD3E66" w:rsidRPr="006F02A4">
              <w:rPr>
                <w:rFonts w:ascii="Arial" w:eastAsia="Times New Roman" w:hAnsi="Arial" w:cs="Arial"/>
                <w:lang w:eastAsia="en-GB"/>
              </w:rPr>
              <w:t>urplus/(deficit)</w:t>
            </w:r>
          </w:p>
        </w:tc>
        <w:tc>
          <w:tcPr>
            <w:tcW w:w="1256" w:type="dxa"/>
            <w:tcBorders>
              <w:top w:val="nil"/>
              <w:left w:val="nil"/>
              <w:bottom w:val="single" w:sz="4" w:space="0" w:color="auto"/>
              <w:right w:val="nil"/>
            </w:tcBorders>
            <w:shd w:val="clear" w:color="000000" w:fill="D9D9D9"/>
            <w:vAlign w:val="center"/>
          </w:tcPr>
          <w:p w14:paraId="70ED027C"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 </w:t>
            </w:r>
          </w:p>
        </w:tc>
        <w:tc>
          <w:tcPr>
            <w:tcW w:w="1280" w:type="dxa"/>
            <w:tcBorders>
              <w:top w:val="nil"/>
              <w:left w:val="nil"/>
              <w:bottom w:val="single" w:sz="4" w:space="0" w:color="auto"/>
              <w:right w:val="nil"/>
            </w:tcBorders>
            <w:shd w:val="clear" w:color="auto" w:fill="auto"/>
            <w:vAlign w:val="center"/>
          </w:tcPr>
          <w:p w14:paraId="4F8541FC"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(1,986)</w:t>
            </w:r>
          </w:p>
        </w:tc>
        <w:tc>
          <w:tcPr>
            <w:tcW w:w="1610" w:type="dxa"/>
            <w:tcBorders>
              <w:top w:val="nil"/>
              <w:left w:val="nil"/>
              <w:bottom w:val="single" w:sz="4" w:space="0" w:color="auto"/>
              <w:right w:val="nil"/>
            </w:tcBorders>
            <w:shd w:val="clear" w:color="auto" w:fill="auto"/>
            <w:vAlign w:val="center"/>
          </w:tcPr>
          <w:p w14:paraId="464152F6"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(1,281)</w:t>
            </w:r>
          </w:p>
        </w:tc>
        <w:tc>
          <w:tcPr>
            <w:tcW w:w="1216" w:type="dxa"/>
            <w:tcBorders>
              <w:top w:val="nil"/>
              <w:left w:val="nil"/>
              <w:bottom w:val="single" w:sz="4" w:space="0" w:color="auto"/>
              <w:right w:val="nil"/>
            </w:tcBorders>
            <w:shd w:val="clear" w:color="auto" w:fill="auto"/>
            <w:vAlign w:val="center"/>
          </w:tcPr>
          <w:p w14:paraId="53188F38"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(750)</w:t>
            </w:r>
          </w:p>
        </w:tc>
        <w:tc>
          <w:tcPr>
            <w:tcW w:w="1537" w:type="dxa"/>
            <w:tcBorders>
              <w:top w:val="nil"/>
              <w:left w:val="nil"/>
              <w:bottom w:val="single" w:sz="4" w:space="0" w:color="auto"/>
              <w:right w:val="nil"/>
            </w:tcBorders>
            <w:shd w:val="clear" w:color="auto" w:fill="auto"/>
            <w:vAlign w:val="center"/>
          </w:tcPr>
          <w:p w14:paraId="703B27BD"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(339)</w:t>
            </w:r>
          </w:p>
        </w:tc>
        <w:tc>
          <w:tcPr>
            <w:tcW w:w="902" w:type="dxa"/>
            <w:tcBorders>
              <w:top w:val="nil"/>
              <w:left w:val="nil"/>
              <w:bottom w:val="single" w:sz="4" w:space="0" w:color="auto"/>
              <w:right w:val="nil"/>
            </w:tcBorders>
            <w:shd w:val="clear" w:color="auto" w:fill="auto"/>
            <w:vAlign w:val="center"/>
          </w:tcPr>
          <w:p w14:paraId="28707A0B"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(360)</w:t>
            </w:r>
          </w:p>
        </w:tc>
        <w:tc>
          <w:tcPr>
            <w:tcW w:w="1121" w:type="dxa"/>
            <w:tcBorders>
              <w:top w:val="nil"/>
              <w:left w:val="nil"/>
              <w:bottom w:val="single" w:sz="4" w:space="0" w:color="auto"/>
              <w:right w:val="nil"/>
            </w:tcBorders>
            <w:shd w:val="clear" w:color="auto" w:fill="auto"/>
            <w:vAlign w:val="center"/>
          </w:tcPr>
          <w:p w14:paraId="7E06BF8D"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(787)</w:t>
            </w:r>
          </w:p>
        </w:tc>
        <w:tc>
          <w:tcPr>
            <w:tcW w:w="1084" w:type="dxa"/>
            <w:tcBorders>
              <w:top w:val="nil"/>
              <w:left w:val="nil"/>
              <w:bottom w:val="single" w:sz="4" w:space="0" w:color="auto"/>
              <w:right w:val="nil"/>
            </w:tcBorders>
            <w:shd w:val="clear" w:color="auto" w:fill="auto"/>
            <w:vAlign w:val="center"/>
          </w:tcPr>
          <w:p w14:paraId="63EF6FF8"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(346)</w:t>
            </w:r>
          </w:p>
        </w:tc>
        <w:tc>
          <w:tcPr>
            <w:tcW w:w="1211" w:type="dxa"/>
            <w:tcBorders>
              <w:top w:val="nil"/>
              <w:left w:val="nil"/>
              <w:bottom w:val="single" w:sz="4" w:space="0" w:color="auto"/>
              <w:right w:val="single" w:sz="4" w:space="0" w:color="auto"/>
            </w:tcBorders>
            <w:shd w:val="clear" w:color="auto" w:fill="auto"/>
            <w:vAlign w:val="center"/>
          </w:tcPr>
          <w:p w14:paraId="73A75EB9"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(4,009)</w:t>
            </w:r>
          </w:p>
        </w:tc>
      </w:tr>
      <w:tr w:rsidR="00AD3E66" w:rsidRPr="006F02A4" w14:paraId="2F5C50EB" w14:textId="77777777" w:rsidTr="00480305">
        <w:trPr>
          <w:trHeight w:val="690"/>
        </w:trPr>
        <w:tc>
          <w:tcPr>
            <w:tcW w:w="3283" w:type="dxa"/>
            <w:tcBorders>
              <w:top w:val="nil"/>
              <w:left w:val="single" w:sz="4" w:space="0" w:color="auto"/>
              <w:bottom w:val="nil"/>
              <w:right w:val="nil"/>
            </w:tcBorders>
            <w:shd w:val="clear" w:color="auto" w:fill="auto"/>
            <w:vAlign w:val="center"/>
            <w:hideMark/>
          </w:tcPr>
          <w:p w14:paraId="0352464F" w14:textId="0374AD5F" w:rsidR="00AD3E66" w:rsidRPr="006F02A4" w:rsidRDefault="00050B55" w:rsidP="00E33E0E">
            <w:pPr>
              <w:spacing w:after="0" w:line="240" w:lineRule="auto"/>
              <w:rPr>
                <w:rFonts w:ascii="Arial" w:eastAsia="Times New Roman" w:hAnsi="Arial" w:cs="Arial"/>
                <w:lang w:eastAsia="en-GB"/>
              </w:rPr>
            </w:pPr>
            <w:r>
              <w:rPr>
                <w:rFonts w:ascii="Arial" w:eastAsia="Times New Roman" w:hAnsi="Arial" w:cs="Arial"/>
                <w:lang w:eastAsia="en-GB"/>
              </w:rPr>
              <w:t>TRAC s</w:t>
            </w:r>
            <w:r w:rsidR="00AD3E66" w:rsidRPr="006F02A4">
              <w:rPr>
                <w:rFonts w:ascii="Arial" w:eastAsia="Times New Roman" w:hAnsi="Arial" w:cs="Arial"/>
                <w:lang w:eastAsia="en-GB"/>
              </w:rPr>
              <w:t>urplus/(deficit) as % of income</w:t>
            </w:r>
          </w:p>
        </w:tc>
        <w:tc>
          <w:tcPr>
            <w:tcW w:w="1256" w:type="dxa"/>
            <w:tcBorders>
              <w:top w:val="nil"/>
              <w:left w:val="nil"/>
              <w:bottom w:val="nil"/>
              <w:right w:val="nil"/>
            </w:tcBorders>
            <w:shd w:val="clear" w:color="000000" w:fill="D9D9D9"/>
            <w:vAlign w:val="center"/>
          </w:tcPr>
          <w:p w14:paraId="065FFB2D"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 </w:t>
            </w:r>
          </w:p>
        </w:tc>
        <w:tc>
          <w:tcPr>
            <w:tcW w:w="1280" w:type="dxa"/>
            <w:tcBorders>
              <w:top w:val="nil"/>
              <w:left w:val="nil"/>
              <w:bottom w:val="nil"/>
              <w:right w:val="nil"/>
            </w:tcBorders>
            <w:shd w:val="clear" w:color="auto" w:fill="auto"/>
            <w:vAlign w:val="center"/>
          </w:tcPr>
          <w:p w14:paraId="2B33A2DA"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(489.8%)</w:t>
            </w:r>
          </w:p>
        </w:tc>
        <w:tc>
          <w:tcPr>
            <w:tcW w:w="1610" w:type="dxa"/>
            <w:tcBorders>
              <w:top w:val="nil"/>
              <w:left w:val="nil"/>
              <w:bottom w:val="nil"/>
              <w:right w:val="nil"/>
            </w:tcBorders>
            <w:shd w:val="clear" w:color="auto" w:fill="auto"/>
            <w:vAlign w:val="center"/>
          </w:tcPr>
          <w:p w14:paraId="76FB43D3"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(117.8%)</w:t>
            </w:r>
          </w:p>
        </w:tc>
        <w:tc>
          <w:tcPr>
            <w:tcW w:w="1216" w:type="dxa"/>
            <w:tcBorders>
              <w:top w:val="nil"/>
              <w:left w:val="nil"/>
              <w:bottom w:val="nil"/>
              <w:right w:val="nil"/>
            </w:tcBorders>
            <w:shd w:val="clear" w:color="auto" w:fill="auto"/>
            <w:vAlign w:val="center"/>
          </w:tcPr>
          <w:p w14:paraId="2065E0EA"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(41.1%)</w:t>
            </w:r>
          </w:p>
        </w:tc>
        <w:tc>
          <w:tcPr>
            <w:tcW w:w="1537" w:type="dxa"/>
            <w:tcBorders>
              <w:top w:val="nil"/>
              <w:left w:val="nil"/>
              <w:bottom w:val="nil"/>
              <w:right w:val="nil"/>
            </w:tcBorders>
            <w:shd w:val="clear" w:color="auto" w:fill="auto"/>
            <w:vAlign w:val="center"/>
          </w:tcPr>
          <w:p w14:paraId="7F723869"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(35.7%)</w:t>
            </w:r>
          </w:p>
        </w:tc>
        <w:tc>
          <w:tcPr>
            <w:tcW w:w="902" w:type="dxa"/>
            <w:tcBorders>
              <w:top w:val="nil"/>
              <w:left w:val="nil"/>
              <w:bottom w:val="nil"/>
              <w:right w:val="nil"/>
            </w:tcBorders>
            <w:shd w:val="clear" w:color="auto" w:fill="auto"/>
            <w:vAlign w:val="center"/>
          </w:tcPr>
          <w:p w14:paraId="5BEB1851"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(61.1%)</w:t>
            </w:r>
          </w:p>
        </w:tc>
        <w:tc>
          <w:tcPr>
            <w:tcW w:w="1121" w:type="dxa"/>
            <w:tcBorders>
              <w:top w:val="nil"/>
              <w:left w:val="nil"/>
              <w:bottom w:val="nil"/>
              <w:right w:val="nil"/>
            </w:tcBorders>
            <w:shd w:val="clear" w:color="auto" w:fill="auto"/>
            <w:vAlign w:val="center"/>
          </w:tcPr>
          <w:p w14:paraId="6510C526"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(74.3%)</w:t>
            </w:r>
          </w:p>
        </w:tc>
        <w:tc>
          <w:tcPr>
            <w:tcW w:w="1084" w:type="dxa"/>
            <w:tcBorders>
              <w:top w:val="nil"/>
              <w:left w:val="nil"/>
              <w:bottom w:val="nil"/>
              <w:right w:val="nil"/>
            </w:tcBorders>
            <w:shd w:val="clear" w:color="auto" w:fill="auto"/>
            <w:vAlign w:val="center"/>
          </w:tcPr>
          <w:p w14:paraId="4F6827F5"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(31.5%)</w:t>
            </w:r>
          </w:p>
        </w:tc>
        <w:tc>
          <w:tcPr>
            <w:tcW w:w="1211" w:type="dxa"/>
            <w:tcBorders>
              <w:top w:val="nil"/>
              <w:left w:val="nil"/>
              <w:bottom w:val="nil"/>
              <w:right w:val="single" w:sz="4" w:space="0" w:color="auto"/>
            </w:tcBorders>
            <w:shd w:val="clear" w:color="auto" w:fill="auto"/>
            <w:vAlign w:val="center"/>
          </w:tcPr>
          <w:p w14:paraId="69D1C415"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(45.3%)</w:t>
            </w:r>
          </w:p>
        </w:tc>
      </w:tr>
      <w:tr w:rsidR="00AD3E66" w:rsidRPr="006F02A4" w14:paraId="5E630449" w14:textId="77777777" w:rsidTr="00480305">
        <w:trPr>
          <w:trHeight w:val="420"/>
        </w:trPr>
        <w:tc>
          <w:tcPr>
            <w:tcW w:w="3283" w:type="dxa"/>
            <w:tcBorders>
              <w:top w:val="nil"/>
              <w:left w:val="single" w:sz="4" w:space="0" w:color="auto"/>
              <w:bottom w:val="nil"/>
              <w:right w:val="nil"/>
            </w:tcBorders>
            <w:shd w:val="clear" w:color="auto" w:fill="auto"/>
            <w:vAlign w:val="center"/>
            <w:hideMark/>
          </w:tcPr>
          <w:p w14:paraId="03990172" w14:textId="77777777" w:rsidR="00AD3E66" w:rsidRPr="006F02A4" w:rsidRDefault="00AD3E66" w:rsidP="00E33E0E">
            <w:pPr>
              <w:spacing w:after="0" w:line="240" w:lineRule="auto"/>
              <w:rPr>
                <w:rFonts w:ascii="Arial" w:eastAsia="Times New Roman" w:hAnsi="Arial" w:cs="Arial"/>
                <w:b/>
                <w:bCs/>
                <w:lang w:eastAsia="en-GB"/>
              </w:rPr>
            </w:pPr>
            <w:r w:rsidRPr="006F02A4">
              <w:rPr>
                <w:rFonts w:ascii="Arial" w:eastAsia="Times New Roman" w:hAnsi="Arial" w:cs="Arial"/>
                <w:b/>
                <w:bCs/>
                <w:lang w:eastAsia="en-GB"/>
              </w:rPr>
              <w:t>Recovery of full economic costs %</w:t>
            </w:r>
          </w:p>
        </w:tc>
        <w:tc>
          <w:tcPr>
            <w:tcW w:w="1256" w:type="dxa"/>
            <w:tcBorders>
              <w:top w:val="nil"/>
              <w:left w:val="nil"/>
              <w:bottom w:val="nil"/>
              <w:right w:val="nil"/>
            </w:tcBorders>
            <w:shd w:val="clear" w:color="000000" w:fill="D9D9D9"/>
            <w:vAlign w:val="center"/>
          </w:tcPr>
          <w:p w14:paraId="1FD91D20" w14:textId="77777777" w:rsidR="00AD3E66" w:rsidRPr="006F02A4" w:rsidRDefault="00AD3E66" w:rsidP="00480305">
            <w:pPr>
              <w:spacing w:after="0" w:line="240" w:lineRule="auto"/>
              <w:jc w:val="right"/>
              <w:rPr>
                <w:rFonts w:ascii="Arial" w:eastAsia="Times New Roman" w:hAnsi="Arial" w:cs="Arial"/>
                <w:b/>
                <w:bCs/>
                <w:lang w:eastAsia="en-GB"/>
              </w:rPr>
            </w:pPr>
            <w:r w:rsidRPr="006F02A4">
              <w:rPr>
                <w:rFonts w:ascii="Arial" w:hAnsi="Arial" w:cs="Arial"/>
                <w:color w:val="000000"/>
              </w:rPr>
              <w:t> </w:t>
            </w:r>
          </w:p>
        </w:tc>
        <w:tc>
          <w:tcPr>
            <w:tcW w:w="1280" w:type="dxa"/>
            <w:tcBorders>
              <w:top w:val="nil"/>
              <w:left w:val="nil"/>
              <w:bottom w:val="nil"/>
              <w:right w:val="nil"/>
            </w:tcBorders>
            <w:shd w:val="clear" w:color="auto" w:fill="auto"/>
            <w:vAlign w:val="center"/>
          </w:tcPr>
          <w:p w14:paraId="673F1CA1" w14:textId="77777777" w:rsidR="00AD3E66" w:rsidRPr="006F02A4" w:rsidRDefault="00AD3E66" w:rsidP="00480305">
            <w:pPr>
              <w:spacing w:after="0" w:line="240" w:lineRule="auto"/>
              <w:jc w:val="right"/>
              <w:rPr>
                <w:rFonts w:ascii="Arial" w:eastAsia="Times New Roman" w:hAnsi="Arial" w:cs="Arial"/>
                <w:b/>
                <w:bCs/>
                <w:lang w:eastAsia="en-GB"/>
              </w:rPr>
            </w:pPr>
            <w:r w:rsidRPr="006F02A4">
              <w:rPr>
                <w:rFonts w:ascii="Arial" w:hAnsi="Arial" w:cs="Arial"/>
                <w:color w:val="000000"/>
              </w:rPr>
              <w:t>17.0%</w:t>
            </w:r>
          </w:p>
        </w:tc>
        <w:tc>
          <w:tcPr>
            <w:tcW w:w="1610" w:type="dxa"/>
            <w:tcBorders>
              <w:top w:val="nil"/>
              <w:left w:val="nil"/>
              <w:bottom w:val="nil"/>
              <w:right w:val="nil"/>
            </w:tcBorders>
            <w:shd w:val="clear" w:color="auto" w:fill="auto"/>
            <w:vAlign w:val="center"/>
          </w:tcPr>
          <w:p w14:paraId="7B3A3BAE" w14:textId="77777777" w:rsidR="00AD3E66" w:rsidRPr="006F02A4" w:rsidRDefault="00AD3E66" w:rsidP="00480305">
            <w:pPr>
              <w:spacing w:after="0" w:line="240" w:lineRule="auto"/>
              <w:jc w:val="right"/>
              <w:rPr>
                <w:rFonts w:ascii="Arial" w:eastAsia="Times New Roman" w:hAnsi="Arial" w:cs="Arial"/>
                <w:b/>
                <w:bCs/>
                <w:lang w:eastAsia="en-GB"/>
              </w:rPr>
            </w:pPr>
            <w:r w:rsidRPr="006F02A4">
              <w:rPr>
                <w:rFonts w:ascii="Arial" w:hAnsi="Arial" w:cs="Arial"/>
                <w:color w:val="000000"/>
              </w:rPr>
              <w:t>45.9%</w:t>
            </w:r>
          </w:p>
        </w:tc>
        <w:tc>
          <w:tcPr>
            <w:tcW w:w="1216" w:type="dxa"/>
            <w:tcBorders>
              <w:top w:val="nil"/>
              <w:left w:val="nil"/>
              <w:bottom w:val="nil"/>
              <w:right w:val="nil"/>
            </w:tcBorders>
            <w:shd w:val="clear" w:color="auto" w:fill="auto"/>
            <w:vAlign w:val="center"/>
          </w:tcPr>
          <w:p w14:paraId="04107155" w14:textId="77777777" w:rsidR="00AD3E66" w:rsidRPr="006F02A4" w:rsidRDefault="00AD3E66" w:rsidP="00480305">
            <w:pPr>
              <w:spacing w:after="0" w:line="240" w:lineRule="auto"/>
              <w:jc w:val="right"/>
              <w:rPr>
                <w:rFonts w:ascii="Arial" w:eastAsia="Times New Roman" w:hAnsi="Arial" w:cs="Arial"/>
                <w:b/>
                <w:bCs/>
                <w:lang w:eastAsia="en-GB"/>
              </w:rPr>
            </w:pPr>
            <w:r w:rsidRPr="006F02A4">
              <w:rPr>
                <w:rFonts w:ascii="Arial" w:hAnsi="Arial" w:cs="Arial"/>
                <w:color w:val="000000"/>
              </w:rPr>
              <w:t>70.9%</w:t>
            </w:r>
          </w:p>
        </w:tc>
        <w:tc>
          <w:tcPr>
            <w:tcW w:w="1537" w:type="dxa"/>
            <w:tcBorders>
              <w:top w:val="nil"/>
              <w:left w:val="nil"/>
              <w:bottom w:val="nil"/>
              <w:right w:val="nil"/>
            </w:tcBorders>
            <w:shd w:val="clear" w:color="auto" w:fill="auto"/>
            <w:vAlign w:val="center"/>
          </w:tcPr>
          <w:p w14:paraId="05D88BBF" w14:textId="77777777" w:rsidR="00AD3E66" w:rsidRPr="006F02A4" w:rsidRDefault="00AD3E66" w:rsidP="00480305">
            <w:pPr>
              <w:spacing w:after="0" w:line="240" w:lineRule="auto"/>
              <w:jc w:val="right"/>
              <w:rPr>
                <w:rFonts w:ascii="Arial" w:eastAsia="Times New Roman" w:hAnsi="Arial" w:cs="Arial"/>
                <w:b/>
                <w:bCs/>
                <w:lang w:eastAsia="en-GB"/>
              </w:rPr>
            </w:pPr>
            <w:r w:rsidRPr="006F02A4">
              <w:rPr>
                <w:rFonts w:ascii="Arial" w:hAnsi="Arial" w:cs="Arial"/>
                <w:color w:val="000000"/>
              </w:rPr>
              <w:t>73.7%</w:t>
            </w:r>
          </w:p>
        </w:tc>
        <w:tc>
          <w:tcPr>
            <w:tcW w:w="902" w:type="dxa"/>
            <w:tcBorders>
              <w:top w:val="nil"/>
              <w:left w:val="nil"/>
              <w:bottom w:val="nil"/>
              <w:right w:val="nil"/>
            </w:tcBorders>
            <w:shd w:val="clear" w:color="auto" w:fill="auto"/>
            <w:vAlign w:val="center"/>
          </w:tcPr>
          <w:p w14:paraId="5F75C4E6" w14:textId="77777777" w:rsidR="00AD3E66" w:rsidRPr="006F02A4" w:rsidRDefault="00AD3E66" w:rsidP="00480305">
            <w:pPr>
              <w:spacing w:after="0" w:line="240" w:lineRule="auto"/>
              <w:jc w:val="right"/>
              <w:rPr>
                <w:rFonts w:ascii="Arial" w:eastAsia="Times New Roman" w:hAnsi="Arial" w:cs="Arial"/>
                <w:b/>
                <w:bCs/>
                <w:lang w:eastAsia="en-GB"/>
              </w:rPr>
            </w:pPr>
            <w:r w:rsidRPr="006F02A4">
              <w:rPr>
                <w:rFonts w:ascii="Arial" w:hAnsi="Arial" w:cs="Arial"/>
                <w:color w:val="000000"/>
              </w:rPr>
              <w:t>62.1%</w:t>
            </w:r>
          </w:p>
        </w:tc>
        <w:tc>
          <w:tcPr>
            <w:tcW w:w="1121" w:type="dxa"/>
            <w:tcBorders>
              <w:top w:val="nil"/>
              <w:left w:val="nil"/>
              <w:bottom w:val="nil"/>
              <w:right w:val="nil"/>
            </w:tcBorders>
            <w:shd w:val="clear" w:color="auto" w:fill="auto"/>
            <w:vAlign w:val="center"/>
          </w:tcPr>
          <w:p w14:paraId="440F9355" w14:textId="77777777" w:rsidR="00AD3E66" w:rsidRPr="006F02A4" w:rsidRDefault="00AD3E66" w:rsidP="00480305">
            <w:pPr>
              <w:spacing w:after="0" w:line="240" w:lineRule="auto"/>
              <w:jc w:val="right"/>
              <w:rPr>
                <w:rFonts w:ascii="Arial" w:eastAsia="Times New Roman" w:hAnsi="Arial" w:cs="Arial"/>
                <w:b/>
                <w:bCs/>
                <w:lang w:eastAsia="en-GB"/>
              </w:rPr>
            </w:pPr>
            <w:r w:rsidRPr="006F02A4">
              <w:rPr>
                <w:rFonts w:ascii="Arial" w:hAnsi="Arial" w:cs="Arial"/>
                <w:color w:val="000000"/>
              </w:rPr>
              <w:t>57.4%</w:t>
            </w:r>
          </w:p>
        </w:tc>
        <w:tc>
          <w:tcPr>
            <w:tcW w:w="1084" w:type="dxa"/>
            <w:tcBorders>
              <w:top w:val="nil"/>
              <w:left w:val="nil"/>
              <w:bottom w:val="nil"/>
              <w:right w:val="nil"/>
            </w:tcBorders>
            <w:shd w:val="clear" w:color="auto" w:fill="auto"/>
            <w:vAlign w:val="center"/>
          </w:tcPr>
          <w:p w14:paraId="2493ED50" w14:textId="77777777" w:rsidR="00AD3E66" w:rsidRPr="006F02A4" w:rsidRDefault="00AD3E66" w:rsidP="00480305">
            <w:pPr>
              <w:spacing w:after="0" w:line="240" w:lineRule="auto"/>
              <w:jc w:val="right"/>
              <w:rPr>
                <w:rFonts w:ascii="Arial" w:eastAsia="Times New Roman" w:hAnsi="Arial" w:cs="Arial"/>
                <w:b/>
                <w:bCs/>
                <w:lang w:eastAsia="en-GB"/>
              </w:rPr>
            </w:pPr>
            <w:r w:rsidRPr="006F02A4">
              <w:rPr>
                <w:rFonts w:ascii="Arial" w:hAnsi="Arial" w:cs="Arial"/>
                <w:color w:val="000000"/>
              </w:rPr>
              <w:t>76.1%</w:t>
            </w:r>
          </w:p>
        </w:tc>
        <w:tc>
          <w:tcPr>
            <w:tcW w:w="1211" w:type="dxa"/>
            <w:tcBorders>
              <w:top w:val="nil"/>
              <w:left w:val="nil"/>
              <w:bottom w:val="nil"/>
              <w:right w:val="single" w:sz="4" w:space="0" w:color="auto"/>
            </w:tcBorders>
            <w:shd w:val="clear" w:color="auto" w:fill="auto"/>
            <w:vAlign w:val="center"/>
          </w:tcPr>
          <w:p w14:paraId="5A03C9D6" w14:textId="77777777" w:rsidR="00AD3E66" w:rsidRPr="006F02A4" w:rsidRDefault="00AD3E66" w:rsidP="00480305">
            <w:pPr>
              <w:spacing w:after="0" w:line="240" w:lineRule="auto"/>
              <w:jc w:val="right"/>
              <w:rPr>
                <w:rFonts w:ascii="Arial" w:eastAsia="Times New Roman" w:hAnsi="Arial" w:cs="Arial"/>
                <w:b/>
                <w:bCs/>
                <w:lang w:eastAsia="en-GB"/>
              </w:rPr>
            </w:pPr>
            <w:r w:rsidRPr="006F02A4">
              <w:rPr>
                <w:rFonts w:ascii="Arial" w:hAnsi="Arial" w:cs="Arial"/>
                <w:color w:val="000000"/>
              </w:rPr>
              <w:t>68.8%</w:t>
            </w:r>
          </w:p>
        </w:tc>
      </w:tr>
      <w:tr w:rsidR="00AD3E66" w:rsidRPr="006F02A4" w14:paraId="5D25B245" w14:textId="77777777" w:rsidTr="00480305">
        <w:trPr>
          <w:trHeight w:val="690"/>
        </w:trPr>
        <w:tc>
          <w:tcPr>
            <w:tcW w:w="3283" w:type="dxa"/>
            <w:tcBorders>
              <w:top w:val="nil"/>
              <w:left w:val="single" w:sz="4" w:space="0" w:color="auto"/>
              <w:bottom w:val="single" w:sz="4" w:space="0" w:color="auto"/>
              <w:right w:val="nil"/>
            </w:tcBorders>
            <w:shd w:val="clear" w:color="auto" w:fill="auto"/>
            <w:vAlign w:val="center"/>
            <w:hideMark/>
          </w:tcPr>
          <w:p w14:paraId="17A853CA" w14:textId="77777777" w:rsidR="00AD3E66" w:rsidRPr="006F02A4" w:rsidRDefault="00AD3E66"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Recovery of full economic costs % (2018-19)</w:t>
            </w:r>
          </w:p>
        </w:tc>
        <w:tc>
          <w:tcPr>
            <w:tcW w:w="1256" w:type="dxa"/>
            <w:tcBorders>
              <w:top w:val="nil"/>
              <w:left w:val="nil"/>
              <w:bottom w:val="single" w:sz="4" w:space="0" w:color="auto"/>
              <w:right w:val="nil"/>
            </w:tcBorders>
            <w:shd w:val="clear" w:color="000000" w:fill="D9D9D9"/>
            <w:vAlign w:val="center"/>
          </w:tcPr>
          <w:p w14:paraId="2FA33C1C"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 </w:t>
            </w:r>
          </w:p>
        </w:tc>
        <w:tc>
          <w:tcPr>
            <w:tcW w:w="1280" w:type="dxa"/>
            <w:tcBorders>
              <w:top w:val="nil"/>
              <w:left w:val="nil"/>
              <w:bottom w:val="single" w:sz="4" w:space="0" w:color="auto"/>
              <w:right w:val="nil"/>
            </w:tcBorders>
            <w:shd w:val="clear" w:color="auto" w:fill="auto"/>
            <w:vAlign w:val="center"/>
          </w:tcPr>
          <w:p w14:paraId="2445BBD7"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21.2%</w:t>
            </w:r>
          </w:p>
        </w:tc>
        <w:tc>
          <w:tcPr>
            <w:tcW w:w="1610" w:type="dxa"/>
            <w:tcBorders>
              <w:top w:val="nil"/>
              <w:left w:val="nil"/>
              <w:bottom w:val="single" w:sz="4" w:space="0" w:color="auto"/>
              <w:right w:val="nil"/>
            </w:tcBorders>
            <w:shd w:val="clear" w:color="auto" w:fill="auto"/>
            <w:vAlign w:val="center"/>
          </w:tcPr>
          <w:p w14:paraId="2243ED64"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45.2%</w:t>
            </w:r>
          </w:p>
        </w:tc>
        <w:tc>
          <w:tcPr>
            <w:tcW w:w="1216" w:type="dxa"/>
            <w:tcBorders>
              <w:top w:val="nil"/>
              <w:left w:val="nil"/>
              <w:bottom w:val="single" w:sz="4" w:space="0" w:color="auto"/>
              <w:right w:val="nil"/>
            </w:tcBorders>
            <w:shd w:val="clear" w:color="auto" w:fill="auto"/>
            <w:vAlign w:val="center"/>
          </w:tcPr>
          <w:p w14:paraId="22F6D758"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73.7%</w:t>
            </w:r>
          </w:p>
        </w:tc>
        <w:tc>
          <w:tcPr>
            <w:tcW w:w="1537" w:type="dxa"/>
            <w:tcBorders>
              <w:top w:val="nil"/>
              <w:left w:val="nil"/>
              <w:bottom w:val="single" w:sz="4" w:space="0" w:color="auto"/>
              <w:right w:val="nil"/>
            </w:tcBorders>
            <w:shd w:val="clear" w:color="auto" w:fill="auto"/>
            <w:vAlign w:val="center"/>
          </w:tcPr>
          <w:p w14:paraId="72AFFF6A"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74.5%</w:t>
            </w:r>
          </w:p>
        </w:tc>
        <w:tc>
          <w:tcPr>
            <w:tcW w:w="902" w:type="dxa"/>
            <w:tcBorders>
              <w:top w:val="nil"/>
              <w:left w:val="nil"/>
              <w:bottom w:val="single" w:sz="4" w:space="0" w:color="auto"/>
              <w:right w:val="nil"/>
            </w:tcBorders>
            <w:shd w:val="clear" w:color="auto" w:fill="auto"/>
            <w:vAlign w:val="center"/>
          </w:tcPr>
          <w:p w14:paraId="64E68B67"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65.3%</w:t>
            </w:r>
          </w:p>
        </w:tc>
        <w:tc>
          <w:tcPr>
            <w:tcW w:w="1121" w:type="dxa"/>
            <w:tcBorders>
              <w:top w:val="nil"/>
              <w:left w:val="nil"/>
              <w:bottom w:val="single" w:sz="4" w:space="0" w:color="auto"/>
              <w:right w:val="nil"/>
            </w:tcBorders>
            <w:shd w:val="clear" w:color="auto" w:fill="auto"/>
            <w:vAlign w:val="center"/>
          </w:tcPr>
          <w:p w14:paraId="7B7EDF08"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58.7%</w:t>
            </w:r>
          </w:p>
        </w:tc>
        <w:tc>
          <w:tcPr>
            <w:tcW w:w="1084" w:type="dxa"/>
            <w:tcBorders>
              <w:top w:val="nil"/>
              <w:left w:val="nil"/>
              <w:bottom w:val="single" w:sz="4" w:space="0" w:color="auto"/>
              <w:right w:val="nil"/>
            </w:tcBorders>
            <w:shd w:val="clear" w:color="auto" w:fill="auto"/>
            <w:vAlign w:val="center"/>
          </w:tcPr>
          <w:p w14:paraId="4D3F3655"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77.6%</w:t>
            </w:r>
          </w:p>
        </w:tc>
        <w:tc>
          <w:tcPr>
            <w:tcW w:w="1211" w:type="dxa"/>
            <w:tcBorders>
              <w:top w:val="nil"/>
              <w:left w:val="nil"/>
              <w:bottom w:val="single" w:sz="4" w:space="0" w:color="auto"/>
              <w:right w:val="single" w:sz="4" w:space="0" w:color="auto"/>
            </w:tcBorders>
            <w:shd w:val="clear" w:color="auto" w:fill="auto"/>
            <w:vAlign w:val="center"/>
          </w:tcPr>
          <w:p w14:paraId="0D14419C"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69.6%</w:t>
            </w:r>
          </w:p>
        </w:tc>
      </w:tr>
      <w:tr w:rsidR="00AD3E66" w:rsidRPr="006F02A4" w14:paraId="66D1BEC9" w14:textId="77777777" w:rsidTr="00480305">
        <w:trPr>
          <w:trHeight w:val="337"/>
        </w:trPr>
        <w:tc>
          <w:tcPr>
            <w:tcW w:w="3283" w:type="dxa"/>
            <w:tcBorders>
              <w:top w:val="nil"/>
              <w:left w:val="single" w:sz="4" w:space="0" w:color="auto"/>
              <w:bottom w:val="nil"/>
              <w:right w:val="nil"/>
            </w:tcBorders>
            <w:shd w:val="clear" w:color="auto" w:fill="auto"/>
            <w:vAlign w:val="center"/>
            <w:hideMark/>
          </w:tcPr>
          <w:p w14:paraId="0A34EE8A" w14:textId="77777777" w:rsidR="00AD3E66" w:rsidRPr="00050B55" w:rsidRDefault="00AD3E66" w:rsidP="00E33E0E">
            <w:pPr>
              <w:spacing w:after="0" w:line="240" w:lineRule="auto"/>
              <w:rPr>
                <w:rFonts w:ascii="Arial" w:eastAsia="Times New Roman" w:hAnsi="Arial" w:cs="Arial"/>
                <w:b/>
                <w:bCs/>
                <w:sz w:val="20"/>
                <w:szCs w:val="20"/>
                <w:lang w:eastAsia="en-GB"/>
              </w:rPr>
            </w:pPr>
            <w:r w:rsidRPr="00050B55">
              <w:rPr>
                <w:rFonts w:ascii="Arial" w:eastAsia="Times New Roman" w:hAnsi="Arial" w:cs="Arial"/>
                <w:b/>
                <w:bCs/>
                <w:sz w:val="20"/>
                <w:szCs w:val="20"/>
                <w:lang w:eastAsia="en-GB"/>
              </w:rPr>
              <w:t>Included in income</w:t>
            </w:r>
          </w:p>
        </w:tc>
        <w:tc>
          <w:tcPr>
            <w:tcW w:w="1256" w:type="dxa"/>
            <w:tcBorders>
              <w:top w:val="nil"/>
              <w:left w:val="nil"/>
              <w:bottom w:val="nil"/>
              <w:right w:val="nil"/>
            </w:tcBorders>
            <w:shd w:val="clear" w:color="auto" w:fill="auto"/>
            <w:vAlign w:val="center"/>
          </w:tcPr>
          <w:p w14:paraId="2BAFE612" w14:textId="77777777" w:rsidR="00AD3E66" w:rsidRPr="006F02A4" w:rsidRDefault="00AD3E66" w:rsidP="00480305">
            <w:pPr>
              <w:spacing w:after="0" w:line="240" w:lineRule="auto"/>
              <w:jc w:val="right"/>
              <w:rPr>
                <w:rFonts w:ascii="Arial" w:eastAsia="Times New Roman" w:hAnsi="Arial" w:cs="Arial"/>
                <w:b/>
                <w:bCs/>
                <w:lang w:eastAsia="en-GB"/>
              </w:rPr>
            </w:pPr>
          </w:p>
        </w:tc>
        <w:tc>
          <w:tcPr>
            <w:tcW w:w="1280" w:type="dxa"/>
            <w:tcBorders>
              <w:top w:val="nil"/>
              <w:left w:val="nil"/>
              <w:bottom w:val="nil"/>
              <w:right w:val="nil"/>
            </w:tcBorders>
            <w:shd w:val="clear" w:color="auto" w:fill="auto"/>
            <w:vAlign w:val="center"/>
          </w:tcPr>
          <w:p w14:paraId="161A1463" w14:textId="77777777" w:rsidR="00AD3E66" w:rsidRPr="006F02A4" w:rsidRDefault="00AD3E66" w:rsidP="00480305">
            <w:pPr>
              <w:spacing w:after="0" w:line="240" w:lineRule="auto"/>
              <w:jc w:val="right"/>
              <w:rPr>
                <w:rFonts w:ascii="Times New Roman" w:eastAsia="Times New Roman" w:hAnsi="Times New Roman" w:cs="Times New Roman"/>
                <w:lang w:eastAsia="en-GB"/>
              </w:rPr>
            </w:pPr>
          </w:p>
        </w:tc>
        <w:tc>
          <w:tcPr>
            <w:tcW w:w="1610" w:type="dxa"/>
            <w:tcBorders>
              <w:top w:val="nil"/>
              <w:left w:val="nil"/>
              <w:bottom w:val="nil"/>
              <w:right w:val="nil"/>
            </w:tcBorders>
            <w:shd w:val="clear" w:color="auto" w:fill="auto"/>
            <w:vAlign w:val="center"/>
          </w:tcPr>
          <w:p w14:paraId="018CD743" w14:textId="77777777" w:rsidR="00AD3E66" w:rsidRPr="006F02A4" w:rsidRDefault="00AD3E66" w:rsidP="00480305">
            <w:pPr>
              <w:spacing w:after="0" w:line="240" w:lineRule="auto"/>
              <w:jc w:val="right"/>
              <w:rPr>
                <w:rFonts w:ascii="Times New Roman" w:eastAsia="Times New Roman" w:hAnsi="Times New Roman" w:cs="Times New Roman"/>
                <w:lang w:eastAsia="en-GB"/>
              </w:rPr>
            </w:pPr>
          </w:p>
        </w:tc>
        <w:tc>
          <w:tcPr>
            <w:tcW w:w="1216" w:type="dxa"/>
            <w:tcBorders>
              <w:top w:val="nil"/>
              <w:left w:val="nil"/>
              <w:bottom w:val="nil"/>
              <w:right w:val="nil"/>
            </w:tcBorders>
            <w:shd w:val="clear" w:color="auto" w:fill="auto"/>
            <w:vAlign w:val="center"/>
          </w:tcPr>
          <w:p w14:paraId="132AC8C9" w14:textId="77777777" w:rsidR="00AD3E66" w:rsidRPr="006F02A4" w:rsidRDefault="00AD3E66" w:rsidP="00480305">
            <w:pPr>
              <w:spacing w:after="0" w:line="240" w:lineRule="auto"/>
              <w:jc w:val="right"/>
              <w:rPr>
                <w:rFonts w:ascii="Times New Roman" w:eastAsia="Times New Roman" w:hAnsi="Times New Roman" w:cs="Times New Roman"/>
                <w:lang w:eastAsia="en-GB"/>
              </w:rPr>
            </w:pPr>
          </w:p>
        </w:tc>
        <w:tc>
          <w:tcPr>
            <w:tcW w:w="1537" w:type="dxa"/>
            <w:tcBorders>
              <w:top w:val="nil"/>
              <w:left w:val="nil"/>
              <w:bottom w:val="nil"/>
              <w:right w:val="nil"/>
            </w:tcBorders>
            <w:shd w:val="clear" w:color="auto" w:fill="auto"/>
            <w:vAlign w:val="center"/>
          </w:tcPr>
          <w:p w14:paraId="6B657746" w14:textId="77777777" w:rsidR="00AD3E66" w:rsidRPr="006F02A4" w:rsidRDefault="00AD3E66" w:rsidP="00480305">
            <w:pPr>
              <w:spacing w:after="0" w:line="240" w:lineRule="auto"/>
              <w:jc w:val="right"/>
              <w:rPr>
                <w:rFonts w:ascii="Times New Roman" w:eastAsia="Times New Roman" w:hAnsi="Times New Roman" w:cs="Times New Roman"/>
                <w:lang w:eastAsia="en-GB"/>
              </w:rPr>
            </w:pPr>
          </w:p>
        </w:tc>
        <w:tc>
          <w:tcPr>
            <w:tcW w:w="902" w:type="dxa"/>
            <w:tcBorders>
              <w:top w:val="nil"/>
              <w:left w:val="nil"/>
              <w:bottom w:val="nil"/>
              <w:right w:val="nil"/>
            </w:tcBorders>
            <w:shd w:val="clear" w:color="auto" w:fill="auto"/>
            <w:vAlign w:val="center"/>
          </w:tcPr>
          <w:p w14:paraId="2E9D9CDF" w14:textId="77777777" w:rsidR="00AD3E66" w:rsidRPr="006F02A4" w:rsidRDefault="00AD3E66" w:rsidP="00480305">
            <w:pPr>
              <w:spacing w:after="0" w:line="240" w:lineRule="auto"/>
              <w:jc w:val="right"/>
              <w:rPr>
                <w:rFonts w:ascii="Times New Roman" w:eastAsia="Times New Roman" w:hAnsi="Times New Roman" w:cs="Times New Roman"/>
                <w:lang w:eastAsia="en-GB"/>
              </w:rPr>
            </w:pPr>
          </w:p>
        </w:tc>
        <w:tc>
          <w:tcPr>
            <w:tcW w:w="1121" w:type="dxa"/>
            <w:tcBorders>
              <w:top w:val="nil"/>
              <w:left w:val="nil"/>
              <w:bottom w:val="nil"/>
              <w:right w:val="nil"/>
            </w:tcBorders>
            <w:shd w:val="clear" w:color="auto" w:fill="auto"/>
            <w:vAlign w:val="center"/>
          </w:tcPr>
          <w:p w14:paraId="6F97F08C" w14:textId="77777777" w:rsidR="00AD3E66" w:rsidRPr="006F02A4" w:rsidRDefault="00AD3E66" w:rsidP="00480305">
            <w:pPr>
              <w:spacing w:after="0" w:line="240" w:lineRule="auto"/>
              <w:jc w:val="right"/>
              <w:rPr>
                <w:rFonts w:ascii="Times New Roman" w:eastAsia="Times New Roman" w:hAnsi="Times New Roman" w:cs="Times New Roman"/>
                <w:lang w:eastAsia="en-GB"/>
              </w:rPr>
            </w:pPr>
          </w:p>
        </w:tc>
        <w:tc>
          <w:tcPr>
            <w:tcW w:w="1084" w:type="dxa"/>
            <w:tcBorders>
              <w:top w:val="nil"/>
              <w:left w:val="nil"/>
              <w:bottom w:val="nil"/>
              <w:right w:val="nil"/>
            </w:tcBorders>
            <w:shd w:val="clear" w:color="auto" w:fill="auto"/>
            <w:vAlign w:val="center"/>
          </w:tcPr>
          <w:p w14:paraId="32F42D63" w14:textId="77777777" w:rsidR="00AD3E66" w:rsidRPr="006F02A4" w:rsidRDefault="00AD3E66" w:rsidP="00480305">
            <w:pPr>
              <w:spacing w:after="0" w:line="240" w:lineRule="auto"/>
              <w:jc w:val="right"/>
              <w:rPr>
                <w:rFonts w:ascii="Times New Roman" w:eastAsia="Times New Roman" w:hAnsi="Times New Roman" w:cs="Times New Roman"/>
                <w:lang w:eastAsia="en-GB"/>
              </w:rPr>
            </w:pPr>
          </w:p>
        </w:tc>
        <w:tc>
          <w:tcPr>
            <w:tcW w:w="1211" w:type="dxa"/>
            <w:tcBorders>
              <w:top w:val="nil"/>
              <w:left w:val="nil"/>
              <w:bottom w:val="nil"/>
              <w:right w:val="single" w:sz="4" w:space="0" w:color="auto"/>
            </w:tcBorders>
            <w:shd w:val="clear" w:color="auto" w:fill="auto"/>
            <w:vAlign w:val="center"/>
          </w:tcPr>
          <w:p w14:paraId="5C7DF2A0"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 </w:t>
            </w:r>
          </w:p>
        </w:tc>
      </w:tr>
      <w:tr w:rsidR="00AD3E66" w:rsidRPr="006F02A4" w14:paraId="47BE3C0D" w14:textId="77777777" w:rsidTr="00480305">
        <w:trPr>
          <w:trHeight w:val="405"/>
        </w:trPr>
        <w:tc>
          <w:tcPr>
            <w:tcW w:w="3283" w:type="dxa"/>
            <w:tcBorders>
              <w:top w:val="nil"/>
              <w:left w:val="single" w:sz="4" w:space="0" w:color="auto"/>
              <w:bottom w:val="nil"/>
              <w:right w:val="nil"/>
            </w:tcBorders>
            <w:shd w:val="clear" w:color="auto" w:fill="auto"/>
            <w:vAlign w:val="center"/>
            <w:hideMark/>
          </w:tcPr>
          <w:p w14:paraId="17911CFC" w14:textId="77777777" w:rsidR="00AD3E66" w:rsidRPr="006F02A4" w:rsidRDefault="00AD3E66"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New endowments received</w:t>
            </w:r>
          </w:p>
        </w:tc>
        <w:tc>
          <w:tcPr>
            <w:tcW w:w="1256" w:type="dxa"/>
            <w:tcBorders>
              <w:top w:val="nil"/>
              <w:left w:val="nil"/>
              <w:bottom w:val="nil"/>
              <w:right w:val="nil"/>
            </w:tcBorders>
            <w:shd w:val="clear" w:color="auto" w:fill="auto"/>
            <w:vAlign w:val="center"/>
          </w:tcPr>
          <w:p w14:paraId="35119B9B"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0</w:t>
            </w:r>
          </w:p>
        </w:tc>
        <w:tc>
          <w:tcPr>
            <w:tcW w:w="1280" w:type="dxa"/>
            <w:tcBorders>
              <w:top w:val="nil"/>
              <w:left w:val="nil"/>
              <w:bottom w:val="nil"/>
              <w:right w:val="nil"/>
            </w:tcBorders>
            <w:shd w:val="clear" w:color="auto" w:fill="auto"/>
            <w:vAlign w:val="center"/>
          </w:tcPr>
          <w:p w14:paraId="7F8B5BA7"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78</w:t>
            </w:r>
          </w:p>
        </w:tc>
        <w:tc>
          <w:tcPr>
            <w:tcW w:w="1610" w:type="dxa"/>
            <w:tcBorders>
              <w:top w:val="nil"/>
              <w:left w:val="nil"/>
              <w:bottom w:val="nil"/>
              <w:right w:val="nil"/>
            </w:tcBorders>
            <w:shd w:val="clear" w:color="auto" w:fill="auto"/>
            <w:vAlign w:val="center"/>
          </w:tcPr>
          <w:p w14:paraId="20480769"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2</w:t>
            </w:r>
          </w:p>
        </w:tc>
        <w:tc>
          <w:tcPr>
            <w:tcW w:w="1216" w:type="dxa"/>
            <w:tcBorders>
              <w:top w:val="nil"/>
              <w:left w:val="nil"/>
              <w:bottom w:val="nil"/>
              <w:right w:val="nil"/>
            </w:tcBorders>
            <w:shd w:val="clear" w:color="auto" w:fill="auto"/>
            <w:vAlign w:val="center"/>
          </w:tcPr>
          <w:p w14:paraId="065116CC"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0</w:t>
            </w:r>
          </w:p>
        </w:tc>
        <w:tc>
          <w:tcPr>
            <w:tcW w:w="1537" w:type="dxa"/>
            <w:tcBorders>
              <w:top w:val="nil"/>
              <w:left w:val="nil"/>
              <w:bottom w:val="nil"/>
              <w:right w:val="nil"/>
            </w:tcBorders>
            <w:shd w:val="clear" w:color="auto" w:fill="auto"/>
            <w:vAlign w:val="center"/>
          </w:tcPr>
          <w:p w14:paraId="6FE446CE"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0</w:t>
            </w:r>
          </w:p>
        </w:tc>
        <w:tc>
          <w:tcPr>
            <w:tcW w:w="902" w:type="dxa"/>
            <w:tcBorders>
              <w:top w:val="nil"/>
              <w:left w:val="nil"/>
              <w:bottom w:val="nil"/>
              <w:right w:val="nil"/>
            </w:tcBorders>
            <w:shd w:val="clear" w:color="auto" w:fill="auto"/>
            <w:vAlign w:val="center"/>
          </w:tcPr>
          <w:p w14:paraId="237D3D9B"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0</w:t>
            </w:r>
          </w:p>
        </w:tc>
        <w:tc>
          <w:tcPr>
            <w:tcW w:w="1121" w:type="dxa"/>
            <w:tcBorders>
              <w:top w:val="nil"/>
              <w:left w:val="nil"/>
              <w:bottom w:val="nil"/>
              <w:right w:val="nil"/>
            </w:tcBorders>
            <w:shd w:val="clear" w:color="auto" w:fill="auto"/>
            <w:vAlign w:val="center"/>
          </w:tcPr>
          <w:p w14:paraId="16B12506"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0</w:t>
            </w:r>
          </w:p>
        </w:tc>
        <w:tc>
          <w:tcPr>
            <w:tcW w:w="1084" w:type="dxa"/>
            <w:tcBorders>
              <w:top w:val="nil"/>
              <w:left w:val="nil"/>
              <w:bottom w:val="nil"/>
              <w:right w:val="nil"/>
            </w:tcBorders>
            <w:shd w:val="clear" w:color="auto" w:fill="auto"/>
            <w:vAlign w:val="center"/>
          </w:tcPr>
          <w:p w14:paraId="24E6161F"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4</w:t>
            </w:r>
          </w:p>
        </w:tc>
        <w:tc>
          <w:tcPr>
            <w:tcW w:w="1211" w:type="dxa"/>
            <w:tcBorders>
              <w:top w:val="nil"/>
              <w:left w:val="nil"/>
              <w:bottom w:val="nil"/>
              <w:right w:val="single" w:sz="4" w:space="0" w:color="auto"/>
            </w:tcBorders>
            <w:shd w:val="clear" w:color="auto" w:fill="auto"/>
            <w:vAlign w:val="center"/>
          </w:tcPr>
          <w:p w14:paraId="29EB6CEB"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84</w:t>
            </w:r>
          </w:p>
        </w:tc>
      </w:tr>
      <w:tr w:rsidR="00AD3E66" w:rsidRPr="006F02A4" w14:paraId="3A3CA080" w14:textId="77777777" w:rsidTr="00480305">
        <w:trPr>
          <w:trHeight w:val="405"/>
        </w:trPr>
        <w:tc>
          <w:tcPr>
            <w:tcW w:w="3283" w:type="dxa"/>
            <w:tcBorders>
              <w:top w:val="nil"/>
              <w:left w:val="single" w:sz="4" w:space="0" w:color="auto"/>
              <w:bottom w:val="nil"/>
              <w:right w:val="nil"/>
            </w:tcBorders>
            <w:shd w:val="clear" w:color="auto" w:fill="auto"/>
            <w:vAlign w:val="center"/>
            <w:hideMark/>
          </w:tcPr>
          <w:p w14:paraId="68129FE7" w14:textId="77777777" w:rsidR="00AD3E66" w:rsidRPr="006F02A4" w:rsidRDefault="00AD3E66"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New donations</w:t>
            </w:r>
          </w:p>
        </w:tc>
        <w:tc>
          <w:tcPr>
            <w:tcW w:w="1256" w:type="dxa"/>
            <w:tcBorders>
              <w:top w:val="nil"/>
              <w:left w:val="nil"/>
              <w:bottom w:val="nil"/>
              <w:right w:val="nil"/>
            </w:tcBorders>
            <w:shd w:val="clear" w:color="auto" w:fill="auto"/>
            <w:vAlign w:val="center"/>
          </w:tcPr>
          <w:p w14:paraId="2D8D5150"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0</w:t>
            </w:r>
          </w:p>
        </w:tc>
        <w:tc>
          <w:tcPr>
            <w:tcW w:w="1280" w:type="dxa"/>
            <w:tcBorders>
              <w:top w:val="nil"/>
              <w:left w:val="nil"/>
              <w:bottom w:val="nil"/>
              <w:right w:val="nil"/>
            </w:tcBorders>
            <w:shd w:val="clear" w:color="auto" w:fill="auto"/>
            <w:vAlign w:val="center"/>
          </w:tcPr>
          <w:p w14:paraId="21752F39"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40</w:t>
            </w:r>
          </w:p>
        </w:tc>
        <w:tc>
          <w:tcPr>
            <w:tcW w:w="1610" w:type="dxa"/>
            <w:tcBorders>
              <w:top w:val="nil"/>
              <w:left w:val="nil"/>
              <w:bottom w:val="nil"/>
              <w:right w:val="nil"/>
            </w:tcBorders>
            <w:shd w:val="clear" w:color="auto" w:fill="auto"/>
            <w:vAlign w:val="center"/>
          </w:tcPr>
          <w:p w14:paraId="27A16A49"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9</w:t>
            </w:r>
          </w:p>
        </w:tc>
        <w:tc>
          <w:tcPr>
            <w:tcW w:w="1216" w:type="dxa"/>
            <w:tcBorders>
              <w:top w:val="nil"/>
              <w:left w:val="nil"/>
              <w:bottom w:val="nil"/>
              <w:right w:val="nil"/>
            </w:tcBorders>
            <w:shd w:val="clear" w:color="auto" w:fill="auto"/>
            <w:vAlign w:val="center"/>
          </w:tcPr>
          <w:p w14:paraId="76773E6B"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2</w:t>
            </w:r>
          </w:p>
        </w:tc>
        <w:tc>
          <w:tcPr>
            <w:tcW w:w="1537" w:type="dxa"/>
            <w:tcBorders>
              <w:top w:val="nil"/>
              <w:left w:val="nil"/>
              <w:bottom w:val="nil"/>
              <w:right w:val="nil"/>
            </w:tcBorders>
            <w:shd w:val="clear" w:color="auto" w:fill="auto"/>
            <w:vAlign w:val="center"/>
          </w:tcPr>
          <w:p w14:paraId="57A28F26"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1</w:t>
            </w:r>
          </w:p>
        </w:tc>
        <w:tc>
          <w:tcPr>
            <w:tcW w:w="902" w:type="dxa"/>
            <w:tcBorders>
              <w:top w:val="nil"/>
              <w:left w:val="nil"/>
              <w:bottom w:val="nil"/>
              <w:right w:val="nil"/>
            </w:tcBorders>
            <w:shd w:val="clear" w:color="auto" w:fill="auto"/>
            <w:vAlign w:val="center"/>
          </w:tcPr>
          <w:p w14:paraId="125A7D73"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0</w:t>
            </w:r>
          </w:p>
        </w:tc>
        <w:tc>
          <w:tcPr>
            <w:tcW w:w="1121" w:type="dxa"/>
            <w:tcBorders>
              <w:top w:val="nil"/>
              <w:left w:val="nil"/>
              <w:bottom w:val="nil"/>
              <w:right w:val="nil"/>
            </w:tcBorders>
            <w:shd w:val="clear" w:color="auto" w:fill="auto"/>
            <w:vAlign w:val="center"/>
          </w:tcPr>
          <w:p w14:paraId="348B53AF"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3</w:t>
            </w:r>
          </w:p>
        </w:tc>
        <w:tc>
          <w:tcPr>
            <w:tcW w:w="1084" w:type="dxa"/>
            <w:tcBorders>
              <w:top w:val="nil"/>
              <w:left w:val="nil"/>
              <w:bottom w:val="nil"/>
              <w:right w:val="nil"/>
            </w:tcBorders>
            <w:shd w:val="clear" w:color="auto" w:fill="auto"/>
            <w:vAlign w:val="center"/>
          </w:tcPr>
          <w:p w14:paraId="60162F2C"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24</w:t>
            </w:r>
          </w:p>
        </w:tc>
        <w:tc>
          <w:tcPr>
            <w:tcW w:w="1211" w:type="dxa"/>
            <w:tcBorders>
              <w:top w:val="nil"/>
              <w:left w:val="nil"/>
              <w:bottom w:val="nil"/>
              <w:right w:val="single" w:sz="4" w:space="0" w:color="auto"/>
            </w:tcBorders>
            <w:shd w:val="clear" w:color="auto" w:fill="auto"/>
            <w:vAlign w:val="center"/>
          </w:tcPr>
          <w:p w14:paraId="4E1C9994"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79</w:t>
            </w:r>
          </w:p>
        </w:tc>
      </w:tr>
      <w:tr w:rsidR="00AD3E66" w:rsidRPr="006F02A4" w14:paraId="22DACB41" w14:textId="77777777" w:rsidTr="00480305">
        <w:trPr>
          <w:trHeight w:val="405"/>
        </w:trPr>
        <w:tc>
          <w:tcPr>
            <w:tcW w:w="3283" w:type="dxa"/>
            <w:tcBorders>
              <w:top w:val="nil"/>
              <w:left w:val="single" w:sz="4" w:space="0" w:color="auto"/>
              <w:bottom w:val="nil"/>
              <w:right w:val="nil"/>
            </w:tcBorders>
            <w:shd w:val="clear" w:color="auto" w:fill="auto"/>
            <w:vAlign w:val="center"/>
            <w:hideMark/>
          </w:tcPr>
          <w:p w14:paraId="42E63141" w14:textId="77777777" w:rsidR="00AD3E66" w:rsidRPr="006F02A4" w:rsidRDefault="00AD3E66"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New government capital grants</w:t>
            </w:r>
          </w:p>
        </w:tc>
        <w:tc>
          <w:tcPr>
            <w:tcW w:w="1256" w:type="dxa"/>
            <w:tcBorders>
              <w:top w:val="nil"/>
              <w:left w:val="nil"/>
              <w:bottom w:val="nil"/>
              <w:right w:val="nil"/>
            </w:tcBorders>
            <w:shd w:val="clear" w:color="auto" w:fill="auto"/>
            <w:vAlign w:val="center"/>
          </w:tcPr>
          <w:p w14:paraId="13FC73E4"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3</w:t>
            </w:r>
          </w:p>
        </w:tc>
        <w:tc>
          <w:tcPr>
            <w:tcW w:w="1280" w:type="dxa"/>
            <w:tcBorders>
              <w:top w:val="nil"/>
              <w:left w:val="nil"/>
              <w:bottom w:val="nil"/>
              <w:right w:val="nil"/>
            </w:tcBorders>
            <w:shd w:val="clear" w:color="auto" w:fill="auto"/>
            <w:vAlign w:val="center"/>
          </w:tcPr>
          <w:p w14:paraId="56F6AD2C"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68</w:t>
            </w:r>
          </w:p>
        </w:tc>
        <w:tc>
          <w:tcPr>
            <w:tcW w:w="1610" w:type="dxa"/>
            <w:tcBorders>
              <w:top w:val="nil"/>
              <w:left w:val="nil"/>
              <w:bottom w:val="nil"/>
              <w:right w:val="nil"/>
            </w:tcBorders>
            <w:shd w:val="clear" w:color="auto" w:fill="auto"/>
            <w:vAlign w:val="center"/>
          </w:tcPr>
          <w:p w14:paraId="505E456E"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11</w:t>
            </w:r>
          </w:p>
        </w:tc>
        <w:tc>
          <w:tcPr>
            <w:tcW w:w="1216" w:type="dxa"/>
            <w:tcBorders>
              <w:top w:val="nil"/>
              <w:left w:val="nil"/>
              <w:bottom w:val="nil"/>
              <w:right w:val="nil"/>
            </w:tcBorders>
            <w:shd w:val="clear" w:color="auto" w:fill="auto"/>
            <w:vAlign w:val="center"/>
          </w:tcPr>
          <w:p w14:paraId="4B9A5BA3"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71</w:t>
            </w:r>
          </w:p>
        </w:tc>
        <w:tc>
          <w:tcPr>
            <w:tcW w:w="1537" w:type="dxa"/>
            <w:tcBorders>
              <w:top w:val="nil"/>
              <w:left w:val="nil"/>
              <w:bottom w:val="nil"/>
              <w:right w:val="nil"/>
            </w:tcBorders>
            <w:shd w:val="clear" w:color="auto" w:fill="auto"/>
            <w:vAlign w:val="center"/>
          </w:tcPr>
          <w:p w14:paraId="7BBA4B69"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29</w:t>
            </w:r>
          </w:p>
        </w:tc>
        <w:tc>
          <w:tcPr>
            <w:tcW w:w="902" w:type="dxa"/>
            <w:tcBorders>
              <w:top w:val="nil"/>
              <w:left w:val="nil"/>
              <w:bottom w:val="nil"/>
              <w:right w:val="nil"/>
            </w:tcBorders>
            <w:shd w:val="clear" w:color="auto" w:fill="auto"/>
            <w:vAlign w:val="center"/>
          </w:tcPr>
          <w:p w14:paraId="34EBFB20"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8</w:t>
            </w:r>
          </w:p>
        </w:tc>
        <w:tc>
          <w:tcPr>
            <w:tcW w:w="1121" w:type="dxa"/>
            <w:tcBorders>
              <w:top w:val="nil"/>
              <w:left w:val="nil"/>
              <w:bottom w:val="nil"/>
              <w:right w:val="nil"/>
            </w:tcBorders>
            <w:shd w:val="clear" w:color="auto" w:fill="auto"/>
            <w:vAlign w:val="center"/>
          </w:tcPr>
          <w:p w14:paraId="5C0DB764"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12</w:t>
            </w:r>
          </w:p>
        </w:tc>
        <w:tc>
          <w:tcPr>
            <w:tcW w:w="1084" w:type="dxa"/>
            <w:tcBorders>
              <w:top w:val="nil"/>
              <w:left w:val="nil"/>
              <w:bottom w:val="nil"/>
              <w:right w:val="nil"/>
            </w:tcBorders>
            <w:shd w:val="clear" w:color="auto" w:fill="auto"/>
            <w:vAlign w:val="center"/>
          </w:tcPr>
          <w:p w14:paraId="15415D15"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9</w:t>
            </w:r>
          </w:p>
        </w:tc>
        <w:tc>
          <w:tcPr>
            <w:tcW w:w="1211" w:type="dxa"/>
            <w:tcBorders>
              <w:top w:val="nil"/>
              <w:left w:val="nil"/>
              <w:bottom w:val="nil"/>
              <w:right w:val="single" w:sz="4" w:space="0" w:color="auto"/>
            </w:tcBorders>
            <w:shd w:val="clear" w:color="auto" w:fill="auto"/>
            <w:vAlign w:val="center"/>
          </w:tcPr>
          <w:p w14:paraId="079CBBBC"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212</w:t>
            </w:r>
          </w:p>
        </w:tc>
      </w:tr>
      <w:tr w:rsidR="00AD3E66" w:rsidRPr="006F02A4" w14:paraId="39D1AA42" w14:textId="77777777" w:rsidTr="00480305">
        <w:trPr>
          <w:trHeight w:val="450"/>
        </w:trPr>
        <w:tc>
          <w:tcPr>
            <w:tcW w:w="3283" w:type="dxa"/>
            <w:tcBorders>
              <w:top w:val="nil"/>
              <w:left w:val="single" w:sz="4" w:space="0" w:color="auto"/>
              <w:bottom w:val="nil"/>
              <w:right w:val="nil"/>
            </w:tcBorders>
            <w:shd w:val="clear" w:color="auto" w:fill="auto"/>
            <w:vAlign w:val="center"/>
            <w:hideMark/>
          </w:tcPr>
          <w:p w14:paraId="3EB439AE" w14:textId="77777777" w:rsidR="00AD3E66" w:rsidRPr="006F02A4" w:rsidRDefault="00AD3E66" w:rsidP="00E33E0E">
            <w:pPr>
              <w:spacing w:after="0" w:line="240" w:lineRule="auto"/>
              <w:rPr>
                <w:rFonts w:ascii="Arial" w:eastAsia="Times New Roman" w:hAnsi="Arial" w:cs="Arial"/>
                <w:lang w:eastAsia="en-GB"/>
              </w:rPr>
            </w:pPr>
            <w:r w:rsidRPr="00050B55">
              <w:rPr>
                <w:rFonts w:ascii="Arial" w:eastAsia="Times New Roman" w:hAnsi="Arial" w:cs="Arial"/>
                <w:lang w:eastAsia="en-GB"/>
              </w:rPr>
              <w:t>New non-government capital grants</w:t>
            </w:r>
          </w:p>
        </w:tc>
        <w:tc>
          <w:tcPr>
            <w:tcW w:w="1256" w:type="dxa"/>
            <w:tcBorders>
              <w:top w:val="nil"/>
              <w:left w:val="nil"/>
              <w:bottom w:val="nil"/>
              <w:right w:val="nil"/>
            </w:tcBorders>
            <w:shd w:val="clear" w:color="auto" w:fill="auto"/>
            <w:vAlign w:val="center"/>
          </w:tcPr>
          <w:p w14:paraId="2315A37A"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0</w:t>
            </w:r>
          </w:p>
        </w:tc>
        <w:tc>
          <w:tcPr>
            <w:tcW w:w="1280" w:type="dxa"/>
            <w:tcBorders>
              <w:top w:val="nil"/>
              <w:left w:val="nil"/>
              <w:bottom w:val="nil"/>
              <w:right w:val="nil"/>
            </w:tcBorders>
            <w:shd w:val="clear" w:color="auto" w:fill="auto"/>
            <w:vAlign w:val="center"/>
          </w:tcPr>
          <w:p w14:paraId="102D3BF1"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2</w:t>
            </w:r>
          </w:p>
        </w:tc>
        <w:tc>
          <w:tcPr>
            <w:tcW w:w="1610" w:type="dxa"/>
            <w:tcBorders>
              <w:top w:val="nil"/>
              <w:left w:val="nil"/>
              <w:bottom w:val="nil"/>
              <w:right w:val="nil"/>
            </w:tcBorders>
            <w:shd w:val="clear" w:color="auto" w:fill="auto"/>
            <w:vAlign w:val="center"/>
          </w:tcPr>
          <w:p w14:paraId="32613E01"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1</w:t>
            </w:r>
          </w:p>
        </w:tc>
        <w:tc>
          <w:tcPr>
            <w:tcW w:w="1216" w:type="dxa"/>
            <w:tcBorders>
              <w:top w:val="nil"/>
              <w:left w:val="nil"/>
              <w:bottom w:val="nil"/>
              <w:right w:val="nil"/>
            </w:tcBorders>
            <w:shd w:val="clear" w:color="auto" w:fill="auto"/>
            <w:vAlign w:val="center"/>
          </w:tcPr>
          <w:p w14:paraId="579481B5"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8</w:t>
            </w:r>
          </w:p>
        </w:tc>
        <w:tc>
          <w:tcPr>
            <w:tcW w:w="1537" w:type="dxa"/>
            <w:tcBorders>
              <w:top w:val="nil"/>
              <w:left w:val="nil"/>
              <w:bottom w:val="nil"/>
              <w:right w:val="nil"/>
            </w:tcBorders>
            <w:shd w:val="clear" w:color="auto" w:fill="auto"/>
            <w:vAlign w:val="center"/>
          </w:tcPr>
          <w:p w14:paraId="7740D252"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2</w:t>
            </w:r>
          </w:p>
        </w:tc>
        <w:tc>
          <w:tcPr>
            <w:tcW w:w="902" w:type="dxa"/>
            <w:tcBorders>
              <w:top w:val="nil"/>
              <w:left w:val="nil"/>
              <w:bottom w:val="nil"/>
              <w:right w:val="nil"/>
            </w:tcBorders>
            <w:shd w:val="clear" w:color="auto" w:fill="auto"/>
            <w:vAlign w:val="center"/>
          </w:tcPr>
          <w:p w14:paraId="0CD17E44"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2</w:t>
            </w:r>
          </w:p>
        </w:tc>
        <w:tc>
          <w:tcPr>
            <w:tcW w:w="1121" w:type="dxa"/>
            <w:tcBorders>
              <w:top w:val="nil"/>
              <w:left w:val="nil"/>
              <w:bottom w:val="nil"/>
              <w:right w:val="nil"/>
            </w:tcBorders>
            <w:shd w:val="clear" w:color="auto" w:fill="auto"/>
            <w:vAlign w:val="center"/>
          </w:tcPr>
          <w:p w14:paraId="5BE5AE86"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9</w:t>
            </w:r>
          </w:p>
        </w:tc>
        <w:tc>
          <w:tcPr>
            <w:tcW w:w="1084" w:type="dxa"/>
            <w:tcBorders>
              <w:top w:val="nil"/>
              <w:left w:val="nil"/>
              <w:bottom w:val="nil"/>
              <w:right w:val="nil"/>
            </w:tcBorders>
            <w:shd w:val="clear" w:color="auto" w:fill="auto"/>
            <w:vAlign w:val="center"/>
          </w:tcPr>
          <w:p w14:paraId="156530E3"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4</w:t>
            </w:r>
          </w:p>
        </w:tc>
        <w:tc>
          <w:tcPr>
            <w:tcW w:w="1211" w:type="dxa"/>
            <w:tcBorders>
              <w:top w:val="nil"/>
              <w:left w:val="nil"/>
              <w:bottom w:val="nil"/>
              <w:right w:val="single" w:sz="4" w:space="0" w:color="auto"/>
            </w:tcBorders>
            <w:shd w:val="clear" w:color="auto" w:fill="auto"/>
            <w:vAlign w:val="center"/>
          </w:tcPr>
          <w:p w14:paraId="66111EA6"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28</w:t>
            </w:r>
          </w:p>
        </w:tc>
      </w:tr>
      <w:tr w:rsidR="00AD3E66" w:rsidRPr="006F02A4" w14:paraId="60390987" w14:textId="77777777" w:rsidTr="00480305">
        <w:trPr>
          <w:trHeight w:val="405"/>
        </w:trPr>
        <w:tc>
          <w:tcPr>
            <w:tcW w:w="3283" w:type="dxa"/>
            <w:tcBorders>
              <w:top w:val="nil"/>
              <w:left w:val="single" w:sz="4" w:space="0" w:color="auto"/>
              <w:bottom w:val="single" w:sz="4" w:space="0" w:color="auto"/>
              <w:right w:val="nil"/>
            </w:tcBorders>
            <w:shd w:val="clear" w:color="auto" w:fill="auto"/>
            <w:vAlign w:val="center"/>
            <w:hideMark/>
          </w:tcPr>
          <w:p w14:paraId="3B7D8BA8" w14:textId="77777777" w:rsidR="00AD3E66" w:rsidRPr="006F02A4" w:rsidRDefault="00AD3E66"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Other material items</w:t>
            </w:r>
          </w:p>
        </w:tc>
        <w:tc>
          <w:tcPr>
            <w:tcW w:w="1256" w:type="dxa"/>
            <w:tcBorders>
              <w:top w:val="nil"/>
              <w:left w:val="nil"/>
              <w:bottom w:val="single" w:sz="4" w:space="0" w:color="auto"/>
              <w:right w:val="nil"/>
            </w:tcBorders>
            <w:shd w:val="clear" w:color="auto" w:fill="auto"/>
            <w:vAlign w:val="center"/>
          </w:tcPr>
          <w:p w14:paraId="5A63722A"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0</w:t>
            </w:r>
          </w:p>
        </w:tc>
        <w:tc>
          <w:tcPr>
            <w:tcW w:w="1280" w:type="dxa"/>
            <w:tcBorders>
              <w:top w:val="nil"/>
              <w:left w:val="nil"/>
              <w:bottom w:val="single" w:sz="4" w:space="0" w:color="auto"/>
              <w:right w:val="nil"/>
            </w:tcBorders>
            <w:shd w:val="clear" w:color="auto" w:fill="auto"/>
            <w:vAlign w:val="center"/>
          </w:tcPr>
          <w:p w14:paraId="341F8FB3"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2</w:t>
            </w:r>
          </w:p>
        </w:tc>
        <w:tc>
          <w:tcPr>
            <w:tcW w:w="1610" w:type="dxa"/>
            <w:tcBorders>
              <w:top w:val="nil"/>
              <w:left w:val="nil"/>
              <w:bottom w:val="single" w:sz="4" w:space="0" w:color="auto"/>
              <w:right w:val="nil"/>
            </w:tcBorders>
            <w:shd w:val="clear" w:color="auto" w:fill="auto"/>
            <w:vAlign w:val="center"/>
          </w:tcPr>
          <w:p w14:paraId="39D882B8" w14:textId="03421DC3"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0</w:t>
            </w:r>
          </w:p>
        </w:tc>
        <w:tc>
          <w:tcPr>
            <w:tcW w:w="1216" w:type="dxa"/>
            <w:tcBorders>
              <w:top w:val="nil"/>
              <w:left w:val="nil"/>
              <w:bottom w:val="single" w:sz="4" w:space="0" w:color="auto"/>
              <w:right w:val="nil"/>
            </w:tcBorders>
            <w:shd w:val="clear" w:color="auto" w:fill="auto"/>
            <w:vAlign w:val="center"/>
          </w:tcPr>
          <w:p w14:paraId="421BABA1"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0</w:t>
            </w:r>
          </w:p>
        </w:tc>
        <w:tc>
          <w:tcPr>
            <w:tcW w:w="1537" w:type="dxa"/>
            <w:tcBorders>
              <w:top w:val="nil"/>
              <w:left w:val="nil"/>
              <w:bottom w:val="single" w:sz="4" w:space="0" w:color="auto"/>
              <w:right w:val="nil"/>
            </w:tcBorders>
            <w:shd w:val="clear" w:color="auto" w:fill="auto"/>
            <w:vAlign w:val="center"/>
          </w:tcPr>
          <w:p w14:paraId="3A9410B6"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0</w:t>
            </w:r>
          </w:p>
        </w:tc>
        <w:tc>
          <w:tcPr>
            <w:tcW w:w="902" w:type="dxa"/>
            <w:tcBorders>
              <w:top w:val="nil"/>
              <w:left w:val="nil"/>
              <w:bottom w:val="single" w:sz="4" w:space="0" w:color="auto"/>
              <w:right w:val="nil"/>
            </w:tcBorders>
            <w:shd w:val="clear" w:color="auto" w:fill="auto"/>
            <w:vAlign w:val="center"/>
          </w:tcPr>
          <w:p w14:paraId="5D51EC0F"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0</w:t>
            </w:r>
          </w:p>
        </w:tc>
        <w:tc>
          <w:tcPr>
            <w:tcW w:w="1121" w:type="dxa"/>
            <w:tcBorders>
              <w:top w:val="nil"/>
              <w:left w:val="nil"/>
              <w:bottom w:val="single" w:sz="4" w:space="0" w:color="auto"/>
              <w:right w:val="nil"/>
            </w:tcBorders>
            <w:shd w:val="clear" w:color="auto" w:fill="auto"/>
            <w:vAlign w:val="center"/>
          </w:tcPr>
          <w:p w14:paraId="2AD9E267" w14:textId="33293C0D"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0</w:t>
            </w:r>
          </w:p>
        </w:tc>
        <w:tc>
          <w:tcPr>
            <w:tcW w:w="1084" w:type="dxa"/>
            <w:tcBorders>
              <w:top w:val="nil"/>
              <w:left w:val="nil"/>
              <w:bottom w:val="single" w:sz="4" w:space="0" w:color="auto"/>
              <w:right w:val="nil"/>
            </w:tcBorders>
            <w:shd w:val="clear" w:color="auto" w:fill="auto"/>
            <w:vAlign w:val="center"/>
          </w:tcPr>
          <w:p w14:paraId="03CF52ED" w14:textId="7FC1DD26"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0</w:t>
            </w:r>
          </w:p>
        </w:tc>
        <w:tc>
          <w:tcPr>
            <w:tcW w:w="1211" w:type="dxa"/>
            <w:tcBorders>
              <w:top w:val="nil"/>
              <w:left w:val="nil"/>
              <w:bottom w:val="single" w:sz="4" w:space="0" w:color="auto"/>
              <w:right w:val="single" w:sz="4" w:space="0" w:color="auto"/>
            </w:tcBorders>
            <w:shd w:val="clear" w:color="auto" w:fill="auto"/>
            <w:vAlign w:val="center"/>
          </w:tcPr>
          <w:p w14:paraId="43AD08D7"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2</w:t>
            </w:r>
          </w:p>
        </w:tc>
      </w:tr>
      <w:tr w:rsidR="00AD3E66" w:rsidRPr="006F02A4" w14:paraId="438FB2B0" w14:textId="77777777" w:rsidTr="00480305">
        <w:trPr>
          <w:trHeight w:val="405"/>
        </w:trPr>
        <w:tc>
          <w:tcPr>
            <w:tcW w:w="3283" w:type="dxa"/>
            <w:tcBorders>
              <w:top w:val="nil"/>
              <w:left w:val="single" w:sz="4" w:space="0" w:color="auto"/>
              <w:bottom w:val="single" w:sz="4" w:space="0" w:color="auto"/>
              <w:right w:val="nil"/>
            </w:tcBorders>
            <w:shd w:val="clear" w:color="auto" w:fill="auto"/>
            <w:vAlign w:val="center"/>
            <w:hideMark/>
          </w:tcPr>
          <w:p w14:paraId="072F6FB1" w14:textId="77777777" w:rsidR="00AD3E66" w:rsidRPr="006F02A4" w:rsidRDefault="00AD3E66"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Total income items</w:t>
            </w:r>
          </w:p>
        </w:tc>
        <w:tc>
          <w:tcPr>
            <w:tcW w:w="1256" w:type="dxa"/>
            <w:tcBorders>
              <w:top w:val="nil"/>
              <w:left w:val="nil"/>
              <w:bottom w:val="single" w:sz="4" w:space="0" w:color="auto"/>
              <w:right w:val="nil"/>
            </w:tcBorders>
            <w:shd w:val="clear" w:color="auto" w:fill="auto"/>
            <w:vAlign w:val="center"/>
          </w:tcPr>
          <w:p w14:paraId="41DC7F24"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3</w:t>
            </w:r>
          </w:p>
        </w:tc>
        <w:tc>
          <w:tcPr>
            <w:tcW w:w="1280" w:type="dxa"/>
            <w:tcBorders>
              <w:top w:val="nil"/>
              <w:left w:val="nil"/>
              <w:bottom w:val="single" w:sz="4" w:space="0" w:color="auto"/>
              <w:right w:val="nil"/>
            </w:tcBorders>
            <w:shd w:val="clear" w:color="auto" w:fill="auto"/>
            <w:vAlign w:val="center"/>
          </w:tcPr>
          <w:p w14:paraId="43065781"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191</w:t>
            </w:r>
          </w:p>
        </w:tc>
        <w:tc>
          <w:tcPr>
            <w:tcW w:w="1610" w:type="dxa"/>
            <w:tcBorders>
              <w:top w:val="nil"/>
              <w:left w:val="nil"/>
              <w:bottom w:val="single" w:sz="4" w:space="0" w:color="auto"/>
              <w:right w:val="nil"/>
            </w:tcBorders>
            <w:shd w:val="clear" w:color="auto" w:fill="auto"/>
            <w:vAlign w:val="center"/>
          </w:tcPr>
          <w:p w14:paraId="6557B804"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23</w:t>
            </w:r>
          </w:p>
        </w:tc>
        <w:tc>
          <w:tcPr>
            <w:tcW w:w="1216" w:type="dxa"/>
            <w:tcBorders>
              <w:top w:val="nil"/>
              <w:left w:val="nil"/>
              <w:bottom w:val="single" w:sz="4" w:space="0" w:color="auto"/>
              <w:right w:val="nil"/>
            </w:tcBorders>
            <w:shd w:val="clear" w:color="auto" w:fill="auto"/>
            <w:vAlign w:val="center"/>
          </w:tcPr>
          <w:p w14:paraId="713B6E95"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80</w:t>
            </w:r>
          </w:p>
        </w:tc>
        <w:tc>
          <w:tcPr>
            <w:tcW w:w="1537" w:type="dxa"/>
            <w:tcBorders>
              <w:top w:val="nil"/>
              <w:left w:val="nil"/>
              <w:bottom w:val="single" w:sz="4" w:space="0" w:color="auto"/>
              <w:right w:val="nil"/>
            </w:tcBorders>
            <w:shd w:val="clear" w:color="auto" w:fill="auto"/>
            <w:vAlign w:val="center"/>
          </w:tcPr>
          <w:p w14:paraId="100E3102"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33</w:t>
            </w:r>
          </w:p>
        </w:tc>
        <w:tc>
          <w:tcPr>
            <w:tcW w:w="902" w:type="dxa"/>
            <w:tcBorders>
              <w:top w:val="nil"/>
              <w:left w:val="nil"/>
              <w:bottom w:val="single" w:sz="4" w:space="0" w:color="auto"/>
              <w:right w:val="nil"/>
            </w:tcBorders>
            <w:shd w:val="clear" w:color="auto" w:fill="auto"/>
            <w:vAlign w:val="center"/>
          </w:tcPr>
          <w:p w14:paraId="0B7ADC57"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9</w:t>
            </w:r>
          </w:p>
        </w:tc>
        <w:tc>
          <w:tcPr>
            <w:tcW w:w="1121" w:type="dxa"/>
            <w:tcBorders>
              <w:top w:val="nil"/>
              <w:left w:val="nil"/>
              <w:bottom w:val="single" w:sz="4" w:space="0" w:color="auto"/>
              <w:right w:val="nil"/>
            </w:tcBorders>
            <w:shd w:val="clear" w:color="auto" w:fill="auto"/>
            <w:vAlign w:val="center"/>
          </w:tcPr>
          <w:p w14:paraId="0363BB71"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25</w:t>
            </w:r>
          </w:p>
        </w:tc>
        <w:tc>
          <w:tcPr>
            <w:tcW w:w="1084" w:type="dxa"/>
            <w:tcBorders>
              <w:top w:val="nil"/>
              <w:left w:val="nil"/>
              <w:bottom w:val="single" w:sz="4" w:space="0" w:color="auto"/>
              <w:right w:val="nil"/>
            </w:tcBorders>
            <w:shd w:val="clear" w:color="auto" w:fill="auto"/>
            <w:vAlign w:val="center"/>
          </w:tcPr>
          <w:p w14:paraId="241A9C9E"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41</w:t>
            </w:r>
          </w:p>
        </w:tc>
        <w:tc>
          <w:tcPr>
            <w:tcW w:w="1211" w:type="dxa"/>
            <w:tcBorders>
              <w:top w:val="nil"/>
              <w:left w:val="nil"/>
              <w:bottom w:val="single" w:sz="4" w:space="0" w:color="auto"/>
              <w:right w:val="single" w:sz="4" w:space="0" w:color="auto"/>
            </w:tcBorders>
            <w:shd w:val="clear" w:color="auto" w:fill="auto"/>
            <w:vAlign w:val="center"/>
          </w:tcPr>
          <w:p w14:paraId="2BF72693"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405</w:t>
            </w:r>
          </w:p>
        </w:tc>
      </w:tr>
      <w:tr w:rsidR="00AD3E66" w:rsidRPr="006F02A4" w14:paraId="4795E3B4" w14:textId="77777777" w:rsidTr="00480305">
        <w:trPr>
          <w:trHeight w:val="405"/>
        </w:trPr>
        <w:tc>
          <w:tcPr>
            <w:tcW w:w="3283" w:type="dxa"/>
            <w:tcBorders>
              <w:top w:val="nil"/>
              <w:left w:val="single" w:sz="4" w:space="0" w:color="auto"/>
              <w:bottom w:val="single" w:sz="4" w:space="0" w:color="auto"/>
              <w:right w:val="nil"/>
            </w:tcBorders>
            <w:shd w:val="clear" w:color="auto" w:fill="auto"/>
            <w:vAlign w:val="center"/>
            <w:hideMark/>
          </w:tcPr>
          <w:p w14:paraId="7AC6E93E" w14:textId="77777777" w:rsidR="00AD3E66" w:rsidRPr="006F02A4" w:rsidRDefault="00AD3E66"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Total as % of income</w:t>
            </w:r>
          </w:p>
        </w:tc>
        <w:tc>
          <w:tcPr>
            <w:tcW w:w="1256" w:type="dxa"/>
            <w:tcBorders>
              <w:top w:val="nil"/>
              <w:left w:val="nil"/>
              <w:bottom w:val="single" w:sz="4" w:space="0" w:color="auto"/>
              <w:right w:val="nil"/>
            </w:tcBorders>
            <w:shd w:val="clear" w:color="auto" w:fill="auto"/>
            <w:vAlign w:val="center"/>
          </w:tcPr>
          <w:p w14:paraId="3BEEF186"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0.2%</w:t>
            </w:r>
          </w:p>
        </w:tc>
        <w:tc>
          <w:tcPr>
            <w:tcW w:w="1280" w:type="dxa"/>
            <w:tcBorders>
              <w:top w:val="nil"/>
              <w:left w:val="nil"/>
              <w:bottom w:val="single" w:sz="4" w:space="0" w:color="auto"/>
              <w:right w:val="nil"/>
            </w:tcBorders>
            <w:shd w:val="clear" w:color="auto" w:fill="auto"/>
            <w:vAlign w:val="center"/>
          </w:tcPr>
          <w:p w14:paraId="58B48136"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47.0%</w:t>
            </w:r>
          </w:p>
        </w:tc>
        <w:tc>
          <w:tcPr>
            <w:tcW w:w="1610" w:type="dxa"/>
            <w:tcBorders>
              <w:top w:val="nil"/>
              <w:left w:val="nil"/>
              <w:bottom w:val="single" w:sz="4" w:space="0" w:color="auto"/>
              <w:right w:val="nil"/>
            </w:tcBorders>
            <w:shd w:val="clear" w:color="auto" w:fill="auto"/>
            <w:vAlign w:val="center"/>
          </w:tcPr>
          <w:p w14:paraId="1FCDE529"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2.1%</w:t>
            </w:r>
          </w:p>
        </w:tc>
        <w:tc>
          <w:tcPr>
            <w:tcW w:w="1216" w:type="dxa"/>
            <w:tcBorders>
              <w:top w:val="nil"/>
              <w:left w:val="nil"/>
              <w:bottom w:val="single" w:sz="4" w:space="0" w:color="auto"/>
              <w:right w:val="nil"/>
            </w:tcBorders>
            <w:shd w:val="clear" w:color="auto" w:fill="auto"/>
            <w:vAlign w:val="center"/>
          </w:tcPr>
          <w:p w14:paraId="38DD28FE"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4.4%</w:t>
            </w:r>
          </w:p>
        </w:tc>
        <w:tc>
          <w:tcPr>
            <w:tcW w:w="1537" w:type="dxa"/>
            <w:tcBorders>
              <w:top w:val="nil"/>
              <w:left w:val="nil"/>
              <w:bottom w:val="single" w:sz="4" w:space="0" w:color="auto"/>
              <w:right w:val="nil"/>
            </w:tcBorders>
            <w:shd w:val="clear" w:color="auto" w:fill="auto"/>
            <w:vAlign w:val="center"/>
          </w:tcPr>
          <w:p w14:paraId="177A5C9C"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3.5%</w:t>
            </w:r>
          </w:p>
        </w:tc>
        <w:tc>
          <w:tcPr>
            <w:tcW w:w="902" w:type="dxa"/>
            <w:tcBorders>
              <w:top w:val="nil"/>
              <w:left w:val="nil"/>
              <w:bottom w:val="single" w:sz="4" w:space="0" w:color="auto"/>
              <w:right w:val="nil"/>
            </w:tcBorders>
            <w:shd w:val="clear" w:color="auto" w:fill="auto"/>
            <w:vAlign w:val="center"/>
          </w:tcPr>
          <w:p w14:paraId="4C3F9953"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1.6%</w:t>
            </w:r>
          </w:p>
        </w:tc>
        <w:tc>
          <w:tcPr>
            <w:tcW w:w="1121" w:type="dxa"/>
            <w:tcBorders>
              <w:top w:val="nil"/>
              <w:left w:val="nil"/>
              <w:bottom w:val="single" w:sz="4" w:space="0" w:color="auto"/>
              <w:right w:val="nil"/>
            </w:tcBorders>
            <w:shd w:val="clear" w:color="auto" w:fill="auto"/>
            <w:vAlign w:val="center"/>
          </w:tcPr>
          <w:p w14:paraId="3EE9D806"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2.4%</w:t>
            </w:r>
          </w:p>
        </w:tc>
        <w:tc>
          <w:tcPr>
            <w:tcW w:w="1084" w:type="dxa"/>
            <w:tcBorders>
              <w:top w:val="nil"/>
              <w:left w:val="nil"/>
              <w:bottom w:val="single" w:sz="4" w:space="0" w:color="auto"/>
              <w:right w:val="nil"/>
            </w:tcBorders>
            <w:shd w:val="clear" w:color="auto" w:fill="auto"/>
            <w:vAlign w:val="center"/>
          </w:tcPr>
          <w:p w14:paraId="2C1133F9"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3.7%</w:t>
            </w:r>
          </w:p>
        </w:tc>
        <w:tc>
          <w:tcPr>
            <w:tcW w:w="1211" w:type="dxa"/>
            <w:tcBorders>
              <w:top w:val="nil"/>
              <w:left w:val="nil"/>
              <w:bottom w:val="single" w:sz="4" w:space="0" w:color="auto"/>
              <w:right w:val="single" w:sz="4" w:space="0" w:color="auto"/>
            </w:tcBorders>
            <w:shd w:val="clear" w:color="auto" w:fill="auto"/>
            <w:vAlign w:val="center"/>
          </w:tcPr>
          <w:p w14:paraId="2B03B079"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4.6%</w:t>
            </w:r>
          </w:p>
        </w:tc>
      </w:tr>
      <w:tr w:rsidR="00AD3E66" w:rsidRPr="006F02A4" w14:paraId="2847FDA6" w14:textId="77777777" w:rsidTr="00480305">
        <w:trPr>
          <w:trHeight w:val="405"/>
        </w:trPr>
        <w:tc>
          <w:tcPr>
            <w:tcW w:w="3283" w:type="dxa"/>
            <w:tcBorders>
              <w:top w:val="nil"/>
              <w:left w:val="single" w:sz="4" w:space="0" w:color="auto"/>
              <w:bottom w:val="single" w:sz="4" w:space="0" w:color="auto"/>
              <w:right w:val="nil"/>
            </w:tcBorders>
            <w:shd w:val="clear" w:color="auto" w:fill="auto"/>
            <w:vAlign w:val="center"/>
            <w:hideMark/>
          </w:tcPr>
          <w:p w14:paraId="5C4D50BF" w14:textId="66AE6658" w:rsidR="00AD3E66" w:rsidRPr="006F02A4" w:rsidRDefault="00AD3E66" w:rsidP="00E33E0E">
            <w:pPr>
              <w:spacing w:after="0" w:line="240" w:lineRule="auto"/>
              <w:rPr>
                <w:rFonts w:ascii="Arial" w:eastAsia="Times New Roman" w:hAnsi="Arial" w:cs="Arial"/>
                <w:lang w:eastAsia="en-GB"/>
              </w:rPr>
            </w:pPr>
            <w:r w:rsidRPr="00050B55">
              <w:rPr>
                <w:rFonts w:ascii="Arial" w:eastAsia="Times New Roman" w:hAnsi="Arial" w:cs="Arial"/>
                <w:sz w:val="20"/>
                <w:szCs w:val="20"/>
                <w:lang w:eastAsia="en-GB"/>
              </w:rPr>
              <w:t xml:space="preserve">Total as % </w:t>
            </w:r>
            <w:r w:rsidR="00C15B07" w:rsidRPr="00050B55">
              <w:rPr>
                <w:rFonts w:ascii="Arial" w:eastAsia="Times New Roman" w:hAnsi="Arial" w:cs="Arial"/>
                <w:sz w:val="20"/>
                <w:szCs w:val="20"/>
                <w:lang w:eastAsia="en-GB"/>
              </w:rPr>
              <w:t xml:space="preserve">of </w:t>
            </w:r>
            <w:r w:rsidRPr="00050B55">
              <w:rPr>
                <w:rFonts w:ascii="Arial" w:eastAsia="Times New Roman" w:hAnsi="Arial" w:cs="Arial"/>
                <w:sz w:val="20"/>
                <w:szCs w:val="20"/>
                <w:lang w:eastAsia="en-GB"/>
              </w:rPr>
              <w:t>income (2018-19)</w:t>
            </w:r>
          </w:p>
        </w:tc>
        <w:tc>
          <w:tcPr>
            <w:tcW w:w="1256" w:type="dxa"/>
            <w:tcBorders>
              <w:top w:val="nil"/>
              <w:left w:val="nil"/>
              <w:bottom w:val="single" w:sz="4" w:space="0" w:color="auto"/>
              <w:right w:val="nil"/>
            </w:tcBorders>
            <w:shd w:val="clear" w:color="auto" w:fill="auto"/>
            <w:vAlign w:val="center"/>
          </w:tcPr>
          <w:p w14:paraId="1D1F9FDB"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0.5%</w:t>
            </w:r>
          </w:p>
        </w:tc>
        <w:tc>
          <w:tcPr>
            <w:tcW w:w="1280" w:type="dxa"/>
            <w:tcBorders>
              <w:top w:val="nil"/>
              <w:left w:val="nil"/>
              <w:bottom w:val="single" w:sz="4" w:space="0" w:color="auto"/>
              <w:right w:val="nil"/>
            </w:tcBorders>
            <w:shd w:val="clear" w:color="auto" w:fill="auto"/>
            <w:vAlign w:val="center"/>
          </w:tcPr>
          <w:p w14:paraId="614460AF"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46.3%</w:t>
            </w:r>
          </w:p>
        </w:tc>
        <w:tc>
          <w:tcPr>
            <w:tcW w:w="1610" w:type="dxa"/>
            <w:tcBorders>
              <w:top w:val="nil"/>
              <w:left w:val="nil"/>
              <w:bottom w:val="single" w:sz="4" w:space="0" w:color="auto"/>
              <w:right w:val="nil"/>
            </w:tcBorders>
            <w:shd w:val="clear" w:color="auto" w:fill="auto"/>
            <w:vAlign w:val="center"/>
          </w:tcPr>
          <w:p w14:paraId="173E0865"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11.6%</w:t>
            </w:r>
          </w:p>
        </w:tc>
        <w:tc>
          <w:tcPr>
            <w:tcW w:w="1216" w:type="dxa"/>
            <w:tcBorders>
              <w:top w:val="nil"/>
              <w:left w:val="nil"/>
              <w:bottom w:val="single" w:sz="4" w:space="0" w:color="auto"/>
              <w:right w:val="nil"/>
            </w:tcBorders>
            <w:shd w:val="clear" w:color="auto" w:fill="auto"/>
            <w:vAlign w:val="center"/>
          </w:tcPr>
          <w:p w14:paraId="41D4D6F8"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3.2%</w:t>
            </w:r>
          </w:p>
        </w:tc>
        <w:tc>
          <w:tcPr>
            <w:tcW w:w="1537" w:type="dxa"/>
            <w:tcBorders>
              <w:top w:val="nil"/>
              <w:left w:val="nil"/>
              <w:bottom w:val="single" w:sz="4" w:space="0" w:color="auto"/>
              <w:right w:val="nil"/>
            </w:tcBorders>
            <w:shd w:val="clear" w:color="auto" w:fill="auto"/>
            <w:vAlign w:val="center"/>
          </w:tcPr>
          <w:p w14:paraId="1D47BE7D"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2.6%</w:t>
            </w:r>
          </w:p>
        </w:tc>
        <w:tc>
          <w:tcPr>
            <w:tcW w:w="902" w:type="dxa"/>
            <w:tcBorders>
              <w:top w:val="nil"/>
              <w:left w:val="nil"/>
              <w:bottom w:val="single" w:sz="4" w:space="0" w:color="auto"/>
              <w:right w:val="nil"/>
            </w:tcBorders>
            <w:shd w:val="clear" w:color="auto" w:fill="auto"/>
            <w:vAlign w:val="center"/>
          </w:tcPr>
          <w:p w14:paraId="64638571"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2.4%</w:t>
            </w:r>
          </w:p>
        </w:tc>
        <w:tc>
          <w:tcPr>
            <w:tcW w:w="1121" w:type="dxa"/>
            <w:tcBorders>
              <w:top w:val="nil"/>
              <w:left w:val="nil"/>
              <w:bottom w:val="single" w:sz="4" w:space="0" w:color="auto"/>
              <w:right w:val="nil"/>
            </w:tcBorders>
            <w:shd w:val="clear" w:color="auto" w:fill="auto"/>
            <w:vAlign w:val="center"/>
          </w:tcPr>
          <w:p w14:paraId="59033D8E"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2.7%</w:t>
            </w:r>
          </w:p>
        </w:tc>
        <w:tc>
          <w:tcPr>
            <w:tcW w:w="1084" w:type="dxa"/>
            <w:tcBorders>
              <w:top w:val="nil"/>
              <w:left w:val="nil"/>
              <w:bottom w:val="single" w:sz="4" w:space="0" w:color="auto"/>
              <w:right w:val="nil"/>
            </w:tcBorders>
            <w:shd w:val="clear" w:color="auto" w:fill="auto"/>
            <w:vAlign w:val="center"/>
          </w:tcPr>
          <w:p w14:paraId="6C5D53F0"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6.8%</w:t>
            </w:r>
          </w:p>
        </w:tc>
        <w:tc>
          <w:tcPr>
            <w:tcW w:w="1211" w:type="dxa"/>
            <w:tcBorders>
              <w:top w:val="nil"/>
              <w:left w:val="nil"/>
              <w:bottom w:val="single" w:sz="4" w:space="0" w:color="auto"/>
              <w:right w:val="single" w:sz="4" w:space="0" w:color="auto"/>
            </w:tcBorders>
            <w:shd w:val="clear" w:color="auto" w:fill="auto"/>
            <w:vAlign w:val="center"/>
          </w:tcPr>
          <w:p w14:paraId="536A18D8" w14:textId="77777777" w:rsidR="00AD3E66" w:rsidRPr="006F02A4" w:rsidRDefault="00AD3E66" w:rsidP="00480305">
            <w:pPr>
              <w:spacing w:after="0" w:line="240" w:lineRule="auto"/>
              <w:jc w:val="right"/>
              <w:rPr>
                <w:rFonts w:ascii="Arial" w:eastAsia="Times New Roman" w:hAnsi="Arial" w:cs="Arial"/>
                <w:lang w:eastAsia="en-GB"/>
              </w:rPr>
            </w:pPr>
            <w:r w:rsidRPr="006F02A4">
              <w:rPr>
                <w:rFonts w:ascii="Arial" w:hAnsi="Arial" w:cs="Arial"/>
                <w:color w:val="000000"/>
              </w:rPr>
              <w:t>6.3%</w:t>
            </w:r>
          </w:p>
        </w:tc>
      </w:tr>
    </w:tbl>
    <w:p w14:paraId="116D5DA2" w14:textId="17AA15DA" w:rsidR="009D5F53" w:rsidRPr="006F02A4" w:rsidRDefault="009D5F53" w:rsidP="00FA0DF3">
      <w:pPr>
        <w:pStyle w:val="Numberedtext1"/>
        <w:numPr>
          <w:ilvl w:val="0"/>
          <w:numId w:val="0"/>
        </w:numPr>
        <w:sectPr w:rsidR="009D5F53" w:rsidRPr="006F02A4" w:rsidSect="00D039D8">
          <w:pgSz w:w="16838" w:h="11906" w:orient="landscape" w:code="9"/>
          <w:pgMar w:top="1021" w:right="1134" w:bottom="851" w:left="1134" w:header="454" w:footer="454" w:gutter="0"/>
          <w:cols w:space="708"/>
          <w:titlePg/>
          <w:docGrid w:linePitch="360"/>
        </w:sectPr>
      </w:pPr>
    </w:p>
    <w:p w14:paraId="42BCA5FF" w14:textId="77777777" w:rsidR="00AC1646" w:rsidRPr="006F02A4" w:rsidRDefault="00AC1646" w:rsidP="00AC1646">
      <w:pPr>
        <w:pStyle w:val="Heading4"/>
      </w:pPr>
      <w:r w:rsidRPr="006F02A4">
        <w:lastRenderedPageBreak/>
        <w:t>Notes to Table 2</w:t>
      </w:r>
    </w:p>
    <w:p w14:paraId="5A38F15D" w14:textId="77777777" w:rsidR="00AC1646" w:rsidRPr="006F02A4" w:rsidRDefault="00AC1646" w:rsidP="00AC1646">
      <w:pPr>
        <w:pStyle w:val="ListParagraph"/>
        <w:numPr>
          <w:ilvl w:val="0"/>
          <w:numId w:val="22"/>
        </w:numPr>
        <w:spacing w:after="240" w:line="300" w:lineRule="atLeast"/>
        <w:ind w:left="284" w:hanging="284"/>
        <w:contextualSpacing w:val="0"/>
      </w:pPr>
      <w:r w:rsidRPr="006F02A4">
        <w:t xml:space="preserve">‘European Union’ covers EU government bodies including the Commission. </w:t>
      </w:r>
    </w:p>
    <w:p w14:paraId="559072CC" w14:textId="77777777" w:rsidR="00AC1646" w:rsidRPr="006F02A4" w:rsidRDefault="00AC1646" w:rsidP="00AC1646">
      <w:pPr>
        <w:pStyle w:val="ListParagraph"/>
        <w:numPr>
          <w:ilvl w:val="0"/>
          <w:numId w:val="22"/>
        </w:numPr>
        <w:spacing w:after="240" w:line="300" w:lineRule="atLeast"/>
        <w:ind w:left="284" w:hanging="284"/>
      </w:pPr>
      <w:r w:rsidRPr="006F02A4">
        <w:t xml:space="preserve">‘Industry’ includes all other organisations such as UK industry, commerce and public corporations, EU non-government organisations (comprising EU-based charities, EU industry and any other EU source), overseas charities, overseas </w:t>
      </w:r>
      <w:proofErr w:type="gramStart"/>
      <w:r w:rsidRPr="006F02A4">
        <w:t>industry</w:t>
      </w:r>
      <w:proofErr w:type="gramEnd"/>
      <w:r w:rsidRPr="006F02A4">
        <w:t xml:space="preserve"> and other sources.</w:t>
      </w:r>
    </w:p>
    <w:p w14:paraId="6E41BA10" w14:textId="77777777" w:rsidR="00AC1646" w:rsidRPr="006F02A4" w:rsidRDefault="00AC1646" w:rsidP="00FA0DF3">
      <w:pPr>
        <w:pStyle w:val="Numberedtext1"/>
        <w:numPr>
          <w:ilvl w:val="0"/>
          <w:numId w:val="0"/>
        </w:numPr>
        <w:sectPr w:rsidR="00AC1646" w:rsidRPr="006F02A4" w:rsidSect="002B029B">
          <w:pgSz w:w="11906" w:h="16838" w:code="9"/>
          <w:pgMar w:top="1134" w:right="1134" w:bottom="1134" w:left="1134" w:header="454" w:footer="454" w:gutter="0"/>
          <w:cols w:space="708"/>
          <w:titlePg/>
          <w:docGrid w:linePitch="360"/>
        </w:sectPr>
      </w:pPr>
    </w:p>
    <w:p w14:paraId="2AC5A3AD" w14:textId="60F14E55" w:rsidR="00BB3E81" w:rsidRPr="006F02A4" w:rsidRDefault="00BB3E81" w:rsidP="00BB3E81">
      <w:pPr>
        <w:pStyle w:val="Headline"/>
      </w:pPr>
      <w:bookmarkStart w:id="9" w:name="_Toc78299731"/>
      <w:r w:rsidRPr="006F02A4">
        <w:lastRenderedPageBreak/>
        <w:t>Annex A: Derivation</w:t>
      </w:r>
      <w:bookmarkEnd w:id="9"/>
    </w:p>
    <w:p w14:paraId="01B29525" w14:textId="18410235" w:rsidR="00A15B5B" w:rsidRPr="006F02A4" w:rsidRDefault="00BB3E81" w:rsidP="001D5691">
      <w:pPr>
        <w:pStyle w:val="Heading3"/>
      </w:pPr>
      <w:bookmarkStart w:id="10" w:name="_Toc77951454"/>
      <w:bookmarkStart w:id="11" w:name="_Toc78299732"/>
      <w:r w:rsidRPr="006F02A4">
        <w:t>Table</w:t>
      </w:r>
      <w:r w:rsidR="007610FC" w:rsidRPr="006F02A4">
        <w:t xml:space="preserve"> 3</w:t>
      </w:r>
      <w:r w:rsidRPr="006F02A4">
        <w:t xml:space="preserve">: Derivation of Transparent Approach to Costing </w:t>
      </w:r>
      <w:r w:rsidR="00C15B07" w:rsidRPr="006F02A4">
        <w:t>(</w:t>
      </w:r>
      <w:r w:rsidRPr="006F02A4">
        <w:t>TRAC</w:t>
      </w:r>
      <w:r w:rsidR="00C15B07" w:rsidRPr="006F02A4">
        <w:t>)</w:t>
      </w:r>
      <w:r w:rsidRPr="006F02A4">
        <w:t xml:space="preserve"> full economic costs and</w:t>
      </w:r>
      <w:r w:rsidR="0093521D">
        <w:t xml:space="preserve"> </w:t>
      </w:r>
      <w:r w:rsidR="006B2C96" w:rsidRPr="006F02A4">
        <w:t>TRAC surplus/(deficit)</w:t>
      </w:r>
      <w:r w:rsidR="00136F05" w:rsidRPr="006F02A4">
        <w:t>, 2019-20</w:t>
      </w:r>
      <w:r w:rsidRPr="006F02A4">
        <w:t xml:space="preserve"> (</w:t>
      </w:r>
      <w:r w:rsidR="00E46EFF" w:rsidRPr="006F02A4">
        <w:t xml:space="preserve">higher education institutions </w:t>
      </w:r>
      <w:r w:rsidRPr="006F02A4">
        <w:t>in England and Northern Ireland)</w:t>
      </w:r>
      <w:bookmarkEnd w:id="10"/>
      <w:bookmarkEnd w:id="11"/>
    </w:p>
    <w:tbl>
      <w:tblPr>
        <w:tblW w:w="9680" w:type="dxa"/>
        <w:tblLook w:val="04A0" w:firstRow="1" w:lastRow="0" w:firstColumn="1" w:lastColumn="0" w:noHBand="0" w:noVBand="1"/>
      </w:tblPr>
      <w:tblGrid>
        <w:gridCol w:w="8380"/>
        <w:gridCol w:w="1300"/>
      </w:tblGrid>
      <w:tr w:rsidR="00C53730" w:rsidRPr="006F02A4" w14:paraId="6CC5EDFA" w14:textId="77777777" w:rsidTr="00E33E0E">
        <w:trPr>
          <w:trHeight w:val="420"/>
        </w:trPr>
        <w:tc>
          <w:tcPr>
            <w:tcW w:w="8380" w:type="dxa"/>
            <w:tcBorders>
              <w:top w:val="single" w:sz="4" w:space="0" w:color="auto"/>
              <w:left w:val="single" w:sz="4" w:space="0" w:color="auto"/>
              <w:bottom w:val="single" w:sz="4" w:space="0" w:color="auto"/>
              <w:right w:val="nil"/>
            </w:tcBorders>
            <w:shd w:val="clear" w:color="000000" w:fill="002554"/>
            <w:vAlign w:val="center"/>
            <w:hideMark/>
          </w:tcPr>
          <w:p w14:paraId="700647B2" w14:textId="77777777" w:rsidR="00C53730" w:rsidRPr="006F02A4" w:rsidRDefault="00C53730" w:rsidP="00E33E0E">
            <w:pPr>
              <w:spacing w:after="0" w:line="240" w:lineRule="auto"/>
              <w:rPr>
                <w:rFonts w:ascii="Arial" w:eastAsia="Times New Roman" w:hAnsi="Arial" w:cs="Arial"/>
                <w:b/>
                <w:bCs/>
                <w:color w:val="FFFFFF"/>
                <w:lang w:eastAsia="en-GB"/>
              </w:rPr>
            </w:pPr>
            <w:r w:rsidRPr="006F02A4">
              <w:rPr>
                <w:rFonts w:ascii="Arial" w:eastAsia="Times New Roman" w:hAnsi="Arial" w:cs="Arial"/>
                <w:b/>
                <w:bCs/>
                <w:color w:val="FFFFFF"/>
                <w:lang w:eastAsia="en-GB"/>
              </w:rPr>
              <w:t> </w:t>
            </w:r>
          </w:p>
        </w:tc>
        <w:tc>
          <w:tcPr>
            <w:tcW w:w="1300" w:type="dxa"/>
            <w:tcBorders>
              <w:top w:val="single" w:sz="4" w:space="0" w:color="auto"/>
              <w:left w:val="nil"/>
              <w:bottom w:val="nil"/>
              <w:right w:val="single" w:sz="4" w:space="0" w:color="auto"/>
            </w:tcBorders>
            <w:shd w:val="clear" w:color="000000" w:fill="002554"/>
            <w:vAlign w:val="center"/>
            <w:hideMark/>
          </w:tcPr>
          <w:p w14:paraId="3BF979E4" w14:textId="77777777" w:rsidR="00C53730" w:rsidRPr="006F02A4" w:rsidRDefault="00C53730" w:rsidP="00E33E0E">
            <w:pPr>
              <w:spacing w:after="0" w:line="240" w:lineRule="auto"/>
              <w:jc w:val="right"/>
              <w:rPr>
                <w:rFonts w:ascii="Arial" w:eastAsia="Times New Roman" w:hAnsi="Arial" w:cs="Arial"/>
                <w:b/>
                <w:bCs/>
                <w:color w:val="FFFFFF"/>
                <w:lang w:eastAsia="en-GB"/>
              </w:rPr>
            </w:pPr>
            <w:r w:rsidRPr="006F02A4">
              <w:rPr>
                <w:rFonts w:ascii="Arial" w:eastAsia="Times New Roman" w:hAnsi="Arial" w:cs="Arial"/>
                <w:b/>
                <w:bCs/>
                <w:color w:val="FFFFFF"/>
                <w:lang w:eastAsia="en-GB"/>
              </w:rPr>
              <w:t>Total (£M)</w:t>
            </w:r>
          </w:p>
        </w:tc>
      </w:tr>
      <w:tr w:rsidR="00C53730" w:rsidRPr="006F02A4" w14:paraId="6A8E940D" w14:textId="77777777" w:rsidTr="0004663E">
        <w:trPr>
          <w:trHeight w:val="450"/>
        </w:trPr>
        <w:tc>
          <w:tcPr>
            <w:tcW w:w="8380" w:type="dxa"/>
            <w:tcBorders>
              <w:top w:val="nil"/>
              <w:left w:val="single" w:sz="4" w:space="0" w:color="auto"/>
              <w:bottom w:val="nil"/>
              <w:right w:val="nil"/>
            </w:tcBorders>
            <w:shd w:val="clear" w:color="auto" w:fill="auto"/>
            <w:vAlign w:val="center"/>
            <w:hideMark/>
          </w:tcPr>
          <w:p w14:paraId="00477AF9" w14:textId="77777777" w:rsidR="00C53730" w:rsidRPr="006F02A4" w:rsidRDefault="00C53730"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Total income adjusted for TRAC (derived from financial statements for 2019-20)</w:t>
            </w:r>
          </w:p>
        </w:tc>
        <w:tc>
          <w:tcPr>
            <w:tcW w:w="1300" w:type="dxa"/>
            <w:tcBorders>
              <w:top w:val="nil"/>
              <w:left w:val="nil"/>
              <w:bottom w:val="nil"/>
              <w:right w:val="single" w:sz="4" w:space="0" w:color="auto"/>
            </w:tcBorders>
            <w:shd w:val="clear" w:color="auto" w:fill="auto"/>
            <w:vAlign w:val="center"/>
          </w:tcPr>
          <w:p w14:paraId="51454C57" w14:textId="77777777" w:rsidR="00C53730" w:rsidRPr="006F02A4" w:rsidRDefault="00C53730" w:rsidP="0004663E">
            <w:pPr>
              <w:spacing w:after="0" w:line="240" w:lineRule="auto"/>
              <w:jc w:val="right"/>
              <w:rPr>
                <w:rFonts w:ascii="Arial" w:eastAsia="Times New Roman" w:hAnsi="Arial" w:cs="Arial"/>
                <w:lang w:eastAsia="en-GB"/>
              </w:rPr>
            </w:pPr>
            <w:r w:rsidRPr="006F02A4">
              <w:rPr>
                <w:rFonts w:ascii="Arial" w:hAnsi="Arial" w:cs="Arial"/>
                <w:color w:val="000000"/>
              </w:rPr>
              <w:t>35,142</w:t>
            </w:r>
          </w:p>
        </w:tc>
      </w:tr>
      <w:tr w:rsidR="00C53730" w:rsidRPr="006F02A4" w14:paraId="61465B98" w14:textId="77777777" w:rsidTr="0004663E">
        <w:trPr>
          <w:trHeight w:val="450"/>
        </w:trPr>
        <w:tc>
          <w:tcPr>
            <w:tcW w:w="8380" w:type="dxa"/>
            <w:tcBorders>
              <w:top w:val="nil"/>
              <w:left w:val="single" w:sz="4" w:space="0" w:color="auto"/>
              <w:bottom w:val="single" w:sz="4" w:space="0" w:color="auto"/>
              <w:right w:val="nil"/>
            </w:tcBorders>
            <w:shd w:val="clear" w:color="auto" w:fill="auto"/>
            <w:vAlign w:val="center"/>
            <w:hideMark/>
          </w:tcPr>
          <w:p w14:paraId="7AD294E7" w14:textId="22EACF5B" w:rsidR="00C53730" w:rsidRPr="006F02A4" w:rsidRDefault="00C53730"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Total expenditure adjusted for TRAC (derived from financial statements for 2019-20)</w:t>
            </w:r>
          </w:p>
        </w:tc>
        <w:tc>
          <w:tcPr>
            <w:tcW w:w="1300" w:type="dxa"/>
            <w:tcBorders>
              <w:top w:val="nil"/>
              <w:left w:val="nil"/>
              <w:bottom w:val="single" w:sz="4" w:space="0" w:color="auto"/>
              <w:right w:val="single" w:sz="4" w:space="0" w:color="auto"/>
            </w:tcBorders>
            <w:shd w:val="clear" w:color="auto" w:fill="auto"/>
            <w:vAlign w:val="center"/>
          </w:tcPr>
          <w:p w14:paraId="7BA76E7B" w14:textId="77777777" w:rsidR="00C53730" w:rsidRPr="006F02A4" w:rsidRDefault="00C53730" w:rsidP="0004663E">
            <w:pPr>
              <w:spacing w:after="0" w:line="240" w:lineRule="auto"/>
              <w:jc w:val="right"/>
              <w:rPr>
                <w:rFonts w:ascii="Arial" w:eastAsia="Times New Roman" w:hAnsi="Arial" w:cs="Arial"/>
                <w:lang w:eastAsia="en-GB"/>
              </w:rPr>
            </w:pPr>
            <w:r w:rsidRPr="006F02A4">
              <w:rPr>
                <w:rFonts w:ascii="Arial" w:hAnsi="Arial" w:cs="Arial"/>
                <w:color w:val="000000"/>
              </w:rPr>
              <w:t>34,869</w:t>
            </w:r>
          </w:p>
        </w:tc>
      </w:tr>
      <w:tr w:rsidR="00C53730" w:rsidRPr="006F02A4" w14:paraId="5BC71CC8" w14:textId="77777777" w:rsidTr="0004663E">
        <w:trPr>
          <w:trHeight w:val="450"/>
        </w:trPr>
        <w:tc>
          <w:tcPr>
            <w:tcW w:w="8380" w:type="dxa"/>
            <w:tcBorders>
              <w:top w:val="nil"/>
              <w:left w:val="single" w:sz="4" w:space="0" w:color="auto"/>
              <w:bottom w:val="single" w:sz="4" w:space="0" w:color="auto"/>
              <w:right w:val="nil"/>
            </w:tcBorders>
            <w:shd w:val="clear" w:color="auto" w:fill="auto"/>
            <w:vAlign w:val="center"/>
            <w:hideMark/>
          </w:tcPr>
          <w:p w14:paraId="6334BA3F" w14:textId="77777777" w:rsidR="00C53730" w:rsidRPr="006F02A4" w:rsidRDefault="00C53730"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Operating surplus/(deficit) per audited financial statements</w:t>
            </w:r>
          </w:p>
        </w:tc>
        <w:tc>
          <w:tcPr>
            <w:tcW w:w="1300" w:type="dxa"/>
            <w:tcBorders>
              <w:top w:val="nil"/>
              <w:left w:val="nil"/>
              <w:bottom w:val="single" w:sz="4" w:space="0" w:color="auto"/>
              <w:right w:val="single" w:sz="4" w:space="0" w:color="auto"/>
            </w:tcBorders>
            <w:shd w:val="clear" w:color="auto" w:fill="auto"/>
            <w:vAlign w:val="center"/>
          </w:tcPr>
          <w:p w14:paraId="78D9EF88" w14:textId="77777777" w:rsidR="00C53730" w:rsidRPr="006F02A4" w:rsidRDefault="00C53730" w:rsidP="0004663E">
            <w:pPr>
              <w:spacing w:after="0" w:line="240" w:lineRule="auto"/>
              <w:jc w:val="right"/>
              <w:rPr>
                <w:rFonts w:ascii="Arial" w:eastAsia="Times New Roman" w:hAnsi="Arial" w:cs="Arial"/>
                <w:lang w:eastAsia="en-GB"/>
              </w:rPr>
            </w:pPr>
            <w:r w:rsidRPr="006F02A4">
              <w:rPr>
                <w:rFonts w:ascii="Arial" w:hAnsi="Arial" w:cs="Arial"/>
                <w:color w:val="000000"/>
              </w:rPr>
              <w:t>273</w:t>
            </w:r>
          </w:p>
        </w:tc>
      </w:tr>
      <w:tr w:rsidR="00C53730" w:rsidRPr="006F02A4" w14:paraId="4439EC0F" w14:textId="77777777" w:rsidTr="0004663E">
        <w:trPr>
          <w:trHeight w:val="450"/>
        </w:trPr>
        <w:tc>
          <w:tcPr>
            <w:tcW w:w="8380" w:type="dxa"/>
            <w:tcBorders>
              <w:top w:val="nil"/>
              <w:left w:val="single" w:sz="4" w:space="0" w:color="auto"/>
              <w:bottom w:val="nil"/>
              <w:right w:val="nil"/>
            </w:tcBorders>
            <w:shd w:val="clear" w:color="auto" w:fill="auto"/>
            <w:vAlign w:val="center"/>
            <w:hideMark/>
          </w:tcPr>
          <w:p w14:paraId="00A7FF8C" w14:textId="77777777" w:rsidR="00C53730" w:rsidRPr="006F02A4" w:rsidRDefault="00C53730"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Sustainability adjustment (EBITDA for MSI)</w:t>
            </w:r>
          </w:p>
        </w:tc>
        <w:tc>
          <w:tcPr>
            <w:tcW w:w="1300" w:type="dxa"/>
            <w:tcBorders>
              <w:top w:val="nil"/>
              <w:left w:val="nil"/>
              <w:bottom w:val="single" w:sz="4" w:space="0" w:color="auto"/>
              <w:right w:val="single" w:sz="4" w:space="0" w:color="auto"/>
            </w:tcBorders>
            <w:shd w:val="clear" w:color="auto" w:fill="auto"/>
            <w:vAlign w:val="center"/>
          </w:tcPr>
          <w:p w14:paraId="48035DFF" w14:textId="77777777" w:rsidR="00C53730" w:rsidRPr="006F02A4" w:rsidRDefault="00C53730" w:rsidP="0004663E">
            <w:pPr>
              <w:spacing w:after="0" w:line="240" w:lineRule="auto"/>
              <w:jc w:val="right"/>
              <w:rPr>
                <w:rFonts w:ascii="Arial" w:eastAsia="Times New Roman" w:hAnsi="Arial" w:cs="Arial"/>
                <w:lang w:eastAsia="en-GB"/>
              </w:rPr>
            </w:pPr>
            <w:r w:rsidRPr="006F02A4">
              <w:rPr>
                <w:rFonts w:ascii="Arial" w:hAnsi="Arial" w:cs="Arial"/>
                <w:color w:val="000000"/>
              </w:rPr>
              <w:t>3,106</w:t>
            </w:r>
          </w:p>
        </w:tc>
      </w:tr>
      <w:tr w:rsidR="00C53730" w:rsidRPr="006F02A4" w14:paraId="6EC6C6B0" w14:textId="77777777" w:rsidTr="0004663E">
        <w:trPr>
          <w:trHeight w:val="450"/>
        </w:trPr>
        <w:tc>
          <w:tcPr>
            <w:tcW w:w="8380" w:type="dxa"/>
            <w:tcBorders>
              <w:top w:val="single" w:sz="4" w:space="0" w:color="auto"/>
              <w:left w:val="single" w:sz="4" w:space="0" w:color="auto"/>
              <w:bottom w:val="single" w:sz="4" w:space="0" w:color="auto"/>
              <w:right w:val="nil"/>
            </w:tcBorders>
            <w:shd w:val="clear" w:color="auto" w:fill="auto"/>
            <w:vAlign w:val="center"/>
            <w:hideMark/>
          </w:tcPr>
          <w:p w14:paraId="7D21DA61" w14:textId="77777777" w:rsidR="00C53730" w:rsidRPr="006F02A4" w:rsidRDefault="00C53730"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Full economic cost (total expenditure plus target surplus for sustainable operations)</w:t>
            </w:r>
          </w:p>
        </w:tc>
        <w:tc>
          <w:tcPr>
            <w:tcW w:w="1300" w:type="dxa"/>
            <w:tcBorders>
              <w:top w:val="nil"/>
              <w:left w:val="nil"/>
              <w:bottom w:val="single" w:sz="4" w:space="0" w:color="auto"/>
              <w:right w:val="single" w:sz="4" w:space="0" w:color="auto"/>
            </w:tcBorders>
            <w:shd w:val="clear" w:color="auto" w:fill="auto"/>
            <w:vAlign w:val="center"/>
          </w:tcPr>
          <w:p w14:paraId="16C3C0C3" w14:textId="77777777" w:rsidR="00C53730" w:rsidRPr="006F02A4" w:rsidRDefault="00C53730" w:rsidP="0004663E">
            <w:pPr>
              <w:spacing w:after="0" w:line="240" w:lineRule="auto"/>
              <w:jc w:val="right"/>
              <w:rPr>
                <w:rFonts w:ascii="Arial" w:eastAsia="Times New Roman" w:hAnsi="Arial" w:cs="Arial"/>
                <w:lang w:eastAsia="en-GB"/>
              </w:rPr>
            </w:pPr>
            <w:r w:rsidRPr="006F02A4">
              <w:rPr>
                <w:rFonts w:ascii="Arial" w:hAnsi="Arial" w:cs="Arial"/>
                <w:color w:val="000000"/>
              </w:rPr>
              <w:t>37,975</w:t>
            </w:r>
          </w:p>
        </w:tc>
      </w:tr>
      <w:tr w:rsidR="00C53730" w:rsidRPr="006F02A4" w14:paraId="1264E84D" w14:textId="77777777" w:rsidTr="0004663E">
        <w:trPr>
          <w:trHeight w:val="450"/>
        </w:trPr>
        <w:tc>
          <w:tcPr>
            <w:tcW w:w="8380" w:type="dxa"/>
            <w:tcBorders>
              <w:top w:val="nil"/>
              <w:left w:val="single" w:sz="4" w:space="0" w:color="auto"/>
              <w:bottom w:val="single" w:sz="4" w:space="0" w:color="auto"/>
              <w:right w:val="nil"/>
            </w:tcBorders>
            <w:shd w:val="clear" w:color="auto" w:fill="auto"/>
            <w:vAlign w:val="center"/>
            <w:hideMark/>
          </w:tcPr>
          <w:p w14:paraId="5AC14393" w14:textId="77777777" w:rsidR="00C53730" w:rsidRPr="006F02A4" w:rsidRDefault="00C53730"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TRAC surplus/(deficit)</w:t>
            </w:r>
          </w:p>
        </w:tc>
        <w:tc>
          <w:tcPr>
            <w:tcW w:w="1300" w:type="dxa"/>
            <w:tcBorders>
              <w:top w:val="nil"/>
              <w:left w:val="nil"/>
              <w:bottom w:val="single" w:sz="4" w:space="0" w:color="auto"/>
              <w:right w:val="single" w:sz="4" w:space="0" w:color="auto"/>
            </w:tcBorders>
            <w:shd w:val="clear" w:color="auto" w:fill="auto"/>
            <w:vAlign w:val="center"/>
          </w:tcPr>
          <w:p w14:paraId="434A3F23" w14:textId="77777777" w:rsidR="00C53730" w:rsidRPr="006F02A4" w:rsidRDefault="00C53730" w:rsidP="0004663E">
            <w:pPr>
              <w:spacing w:after="0" w:line="240" w:lineRule="auto"/>
              <w:jc w:val="right"/>
              <w:rPr>
                <w:rFonts w:ascii="Arial" w:eastAsia="Times New Roman" w:hAnsi="Arial" w:cs="Arial"/>
                <w:lang w:eastAsia="en-GB"/>
              </w:rPr>
            </w:pPr>
            <w:r w:rsidRPr="006F02A4">
              <w:rPr>
                <w:rFonts w:ascii="Arial" w:hAnsi="Arial" w:cs="Arial"/>
                <w:color w:val="000000"/>
              </w:rPr>
              <w:t>(2,833)</w:t>
            </w:r>
          </w:p>
        </w:tc>
      </w:tr>
    </w:tbl>
    <w:p w14:paraId="3671EC8A" w14:textId="77777777" w:rsidR="00BB3E81" w:rsidRPr="006F02A4" w:rsidRDefault="00BB3E81" w:rsidP="00BB3E81">
      <w:pPr>
        <w:pStyle w:val="Heading4"/>
      </w:pPr>
    </w:p>
    <w:p w14:paraId="4B8C45FF" w14:textId="0974838C" w:rsidR="00BB3E81" w:rsidRPr="006F02A4" w:rsidRDefault="00BB3E81" w:rsidP="00BB3E81">
      <w:pPr>
        <w:pStyle w:val="Heading4"/>
      </w:pPr>
      <w:r w:rsidRPr="006F02A4">
        <w:t xml:space="preserve">Notes to Table </w:t>
      </w:r>
      <w:r w:rsidR="007610FC" w:rsidRPr="006F02A4">
        <w:t>3</w:t>
      </w:r>
    </w:p>
    <w:p w14:paraId="5F6615A3" w14:textId="77777777" w:rsidR="00BB3E81" w:rsidRPr="006F02A4" w:rsidRDefault="00BB3E81" w:rsidP="00BB3E81">
      <w:pPr>
        <w:pStyle w:val="Numberedtext1"/>
        <w:numPr>
          <w:ilvl w:val="0"/>
          <w:numId w:val="24"/>
        </w:numPr>
      </w:pPr>
      <w:r w:rsidRPr="006F02A4">
        <w:t>The income and expenditure lines as reported in the financial statements are adjusted, where appropriate, in respect of pension costs, gains or losses on disposal of fixed assets, gains or losses on investments, share of surpluses or deficits in joint ventures and associates, taxation charges or credits and non-controlling interests, in line with the TRAC guidance for 2019-20 – Version 2.5 (July 2020) and Annual TRAC return template at Annex 4.1a.</w:t>
      </w:r>
      <w:r w:rsidRPr="006F02A4">
        <w:rPr>
          <w:rStyle w:val="FootnoteReference"/>
        </w:rPr>
        <w:footnoteReference w:id="14"/>
      </w:r>
    </w:p>
    <w:p w14:paraId="6A58EB6C" w14:textId="3946B8EB" w:rsidR="00BB3E81" w:rsidRPr="006F02A4" w:rsidRDefault="00BB3E81" w:rsidP="00BB3E81">
      <w:pPr>
        <w:pStyle w:val="Numberedtext1"/>
        <w:numPr>
          <w:ilvl w:val="0"/>
          <w:numId w:val="24"/>
        </w:numPr>
      </w:pPr>
      <w:r w:rsidRPr="006F02A4">
        <w:t>The sustainability adjustment is defined as ‘earnings before interest, tax, depreciation and amortisation’ (EBITDA), adjusted as defined in the TRAC guidance requirements (section 3.2.4 and template at Annex 3.2a) to provide the ‘margin for sustainability and investment’ (‘EBITDA for MSI’).</w:t>
      </w:r>
      <w:r w:rsidR="000240A2">
        <w:rPr>
          <w:rStyle w:val="FootnoteReference"/>
        </w:rPr>
        <w:footnoteReference w:id="15"/>
      </w:r>
    </w:p>
    <w:p w14:paraId="704C8CEF" w14:textId="77777777" w:rsidR="00BB3E81" w:rsidRPr="006F02A4" w:rsidRDefault="00BB3E81" w:rsidP="00BB3E81">
      <w:pPr>
        <w:pStyle w:val="Numberedtext1"/>
        <w:numPr>
          <w:ilvl w:val="0"/>
          <w:numId w:val="24"/>
        </w:numPr>
        <w:rPr>
          <w:b/>
          <w:color w:val="002554"/>
          <w:sz w:val="24"/>
        </w:rPr>
      </w:pPr>
      <w:r w:rsidRPr="006F02A4">
        <w:t>Full economic cost is total expenditure derived from the financial statements, plus the sustainability adjustment.</w:t>
      </w:r>
    </w:p>
    <w:p w14:paraId="43C7B2F2" w14:textId="77777777" w:rsidR="00BB3E81" w:rsidRPr="006F02A4" w:rsidRDefault="00BB3E81" w:rsidP="00BB3E81">
      <w:pPr>
        <w:pStyle w:val="Numberedtext1"/>
        <w:numPr>
          <w:ilvl w:val="0"/>
          <w:numId w:val="24"/>
        </w:numPr>
        <w:rPr>
          <w:b/>
          <w:color w:val="002554"/>
          <w:sz w:val="24"/>
        </w:rPr>
      </w:pPr>
      <w:r w:rsidRPr="006F02A4">
        <w:t>TRAC surplus/(deficit) is the difference between total income and the full economic costs.</w:t>
      </w:r>
    </w:p>
    <w:p w14:paraId="4A366537" w14:textId="77777777" w:rsidR="00BB3E81" w:rsidRPr="006F02A4" w:rsidRDefault="00BB3E81" w:rsidP="00F820EE">
      <w:pPr>
        <w:sectPr w:rsidR="00BB3E81" w:rsidRPr="006F02A4" w:rsidSect="002B029B">
          <w:pgSz w:w="11906" w:h="16838" w:code="9"/>
          <w:pgMar w:top="1134" w:right="1134" w:bottom="1134" w:left="1134" w:header="454" w:footer="454" w:gutter="0"/>
          <w:cols w:space="708"/>
          <w:titlePg/>
          <w:docGrid w:linePitch="360"/>
        </w:sectPr>
      </w:pPr>
    </w:p>
    <w:p w14:paraId="45375AEF" w14:textId="77777777" w:rsidR="00835AD7" w:rsidRPr="006F02A4" w:rsidRDefault="00835AD7" w:rsidP="00835AD7">
      <w:pPr>
        <w:pStyle w:val="Headline"/>
      </w:pPr>
      <w:bookmarkStart w:id="12" w:name="_Toc78299733"/>
      <w:r w:rsidRPr="006F02A4">
        <w:lastRenderedPageBreak/>
        <w:t>Annex B: UK sector data summary</w:t>
      </w:r>
      <w:bookmarkEnd w:id="12"/>
    </w:p>
    <w:p w14:paraId="77A86713" w14:textId="1B14732A" w:rsidR="00835AD7" w:rsidRPr="006F02A4" w:rsidRDefault="00835AD7" w:rsidP="001D5691">
      <w:pPr>
        <w:pStyle w:val="Heading3"/>
      </w:pPr>
      <w:bookmarkStart w:id="13" w:name="_Toc77951456"/>
      <w:bookmarkStart w:id="14" w:name="_Toc78299734"/>
      <w:r w:rsidRPr="006F02A4">
        <w:t xml:space="preserve">Table </w:t>
      </w:r>
      <w:r w:rsidR="007610FC" w:rsidRPr="006F02A4">
        <w:t>4</w:t>
      </w:r>
      <w:r w:rsidRPr="006F02A4">
        <w:t>: TRAC income and full economic costs by activity</w:t>
      </w:r>
      <w:r w:rsidR="00D22D87" w:rsidRPr="006F02A4">
        <w:t>,</w:t>
      </w:r>
      <w:r w:rsidRPr="006F02A4">
        <w:t xml:space="preserve"> 2019-20 (UK </w:t>
      </w:r>
      <w:r w:rsidR="00D039D8">
        <w:t>higher education institutions</w:t>
      </w:r>
      <w:r w:rsidRPr="006F02A4">
        <w:t>) (figures in £M)</w:t>
      </w:r>
      <w:bookmarkEnd w:id="13"/>
      <w:bookmarkEnd w:id="14"/>
    </w:p>
    <w:tbl>
      <w:tblPr>
        <w:tblW w:w="14160" w:type="dxa"/>
        <w:tblLook w:val="04A0" w:firstRow="1" w:lastRow="0" w:firstColumn="1" w:lastColumn="0" w:noHBand="0" w:noVBand="1"/>
      </w:tblPr>
      <w:tblGrid>
        <w:gridCol w:w="4680"/>
        <w:gridCol w:w="1580"/>
        <w:gridCol w:w="1580"/>
        <w:gridCol w:w="1580"/>
        <w:gridCol w:w="1580"/>
        <w:gridCol w:w="1580"/>
        <w:gridCol w:w="1580"/>
      </w:tblGrid>
      <w:tr w:rsidR="00C301E6" w:rsidRPr="006F02A4" w14:paraId="0D3AFC9D" w14:textId="77777777" w:rsidTr="00E33E0E">
        <w:trPr>
          <w:trHeight w:val="360"/>
        </w:trPr>
        <w:tc>
          <w:tcPr>
            <w:tcW w:w="4680" w:type="dxa"/>
            <w:tcBorders>
              <w:top w:val="single" w:sz="4" w:space="0" w:color="auto"/>
              <w:left w:val="single" w:sz="4" w:space="0" w:color="auto"/>
              <w:bottom w:val="nil"/>
              <w:right w:val="nil"/>
            </w:tcBorders>
            <w:shd w:val="clear" w:color="000000" w:fill="002554"/>
            <w:vAlign w:val="center"/>
            <w:hideMark/>
          </w:tcPr>
          <w:p w14:paraId="370091D8" w14:textId="77777777" w:rsidR="00C301E6" w:rsidRPr="006F02A4" w:rsidRDefault="00C301E6" w:rsidP="00E33E0E">
            <w:pPr>
              <w:spacing w:after="0" w:line="240" w:lineRule="auto"/>
              <w:rPr>
                <w:rFonts w:ascii="Arial" w:eastAsia="Times New Roman" w:hAnsi="Arial" w:cs="Arial"/>
                <w:b/>
                <w:bCs/>
                <w:color w:val="FFFFFF"/>
                <w:lang w:eastAsia="en-GB"/>
              </w:rPr>
            </w:pPr>
            <w:r w:rsidRPr="006F02A4">
              <w:rPr>
                <w:rFonts w:ascii="Arial" w:eastAsia="Times New Roman" w:hAnsi="Arial" w:cs="Arial"/>
                <w:b/>
                <w:bCs/>
                <w:color w:val="FFFFFF"/>
                <w:lang w:eastAsia="en-GB"/>
              </w:rPr>
              <w:t> </w:t>
            </w:r>
          </w:p>
        </w:tc>
        <w:tc>
          <w:tcPr>
            <w:tcW w:w="1580" w:type="dxa"/>
            <w:tcBorders>
              <w:top w:val="single" w:sz="4" w:space="0" w:color="auto"/>
              <w:left w:val="nil"/>
              <w:bottom w:val="nil"/>
              <w:right w:val="nil"/>
            </w:tcBorders>
            <w:shd w:val="clear" w:color="000000" w:fill="002554"/>
            <w:vAlign w:val="center"/>
            <w:hideMark/>
          </w:tcPr>
          <w:p w14:paraId="2BE7ECCD" w14:textId="77777777" w:rsidR="00C301E6" w:rsidRPr="006F02A4" w:rsidRDefault="00C301E6" w:rsidP="00E33E0E">
            <w:pPr>
              <w:spacing w:after="0" w:line="240" w:lineRule="auto"/>
              <w:jc w:val="right"/>
              <w:rPr>
                <w:rFonts w:ascii="Arial" w:eastAsia="Times New Roman" w:hAnsi="Arial" w:cs="Arial"/>
                <w:b/>
                <w:bCs/>
                <w:color w:val="FFFFFF"/>
                <w:lang w:eastAsia="en-GB"/>
              </w:rPr>
            </w:pPr>
            <w:r w:rsidRPr="006F02A4">
              <w:rPr>
                <w:rFonts w:ascii="Arial" w:eastAsia="Times New Roman" w:hAnsi="Arial" w:cs="Arial"/>
                <w:b/>
                <w:bCs/>
                <w:color w:val="FFFFFF"/>
                <w:lang w:eastAsia="en-GB"/>
              </w:rPr>
              <w:t>Teaching</w:t>
            </w:r>
          </w:p>
        </w:tc>
        <w:tc>
          <w:tcPr>
            <w:tcW w:w="1580" w:type="dxa"/>
            <w:tcBorders>
              <w:top w:val="single" w:sz="4" w:space="0" w:color="auto"/>
              <w:left w:val="nil"/>
              <w:bottom w:val="nil"/>
              <w:right w:val="nil"/>
            </w:tcBorders>
            <w:shd w:val="clear" w:color="000000" w:fill="002554"/>
            <w:vAlign w:val="center"/>
            <w:hideMark/>
          </w:tcPr>
          <w:p w14:paraId="7B744C6F" w14:textId="77777777" w:rsidR="00C301E6" w:rsidRPr="006F02A4" w:rsidRDefault="00C301E6" w:rsidP="00E33E0E">
            <w:pPr>
              <w:spacing w:after="0" w:line="240" w:lineRule="auto"/>
              <w:jc w:val="right"/>
              <w:rPr>
                <w:rFonts w:ascii="Arial" w:eastAsia="Times New Roman" w:hAnsi="Arial" w:cs="Arial"/>
                <w:b/>
                <w:bCs/>
                <w:color w:val="FFFFFF"/>
                <w:lang w:eastAsia="en-GB"/>
              </w:rPr>
            </w:pPr>
            <w:r w:rsidRPr="006F02A4">
              <w:rPr>
                <w:rFonts w:ascii="Arial" w:eastAsia="Times New Roman" w:hAnsi="Arial" w:cs="Arial"/>
                <w:b/>
                <w:bCs/>
                <w:color w:val="FFFFFF"/>
                <w:lang w:eastAsia="en-GB"/>
              </w:rPr>
              <w:t>Teaching</w:t>
            </w:r>
          </w:p>
        </w:tc>
        <w:tc>
          <w:tcPr>
            <w:tcW w:w="1580" w:type="dxa"/>
            <w:tcBorders>
              <w:top w:val="single" w:sz="4" w:space="0" w:color="auto"/>
              <w:left w:val="nil"/>
              <w:bottom w:val="nil"/>
              <w:right w:val="nil"/>
            </w:tcBorders>
            <w:shd w:val="clear" w:color="000000" w:fill="002554"/>
            <w:vAlign w:val="center"/>
            <w:hideMark/>
          </w:tcPr>
          <w:p w14:paraId="37A547F8" w14:textId="77777777" w:rsidR="00C301E6" w:rsidRPr="006F02A4" w:rsidRDefault="00C301E6" w:rsidP="00E33E0E">
            <w:pPr>
              <w:spacing w:after="0" w:line="240" w:lineRule="auto"/>
              <w:jc w:val="right"/>
              <w:rPr>
                <w:rFonts w:ascii="Arial" w:eastAsia="Times New Roman" w:hAnsi="Arial" w:cs="Arial"/>
                <w:b/>
                <w:bCs/>
                <w:color w:val="FFFFFF"/>
                <w:lang w:eastAsia="en-GB"/>
              </w:rPr>
            </w:pPr>
            <w:r w:rsidRPr="006F02A4">
              <w:rPr>
                <w:rFonts w:ascii="Arial" w:eastAsia="Times New Roman" w:hAnsi="Arial" w:cs="Arial"/>
                <w:b/>
                <w:bCs/>
                <w:color w:val="FFFFFF"/>
                <w:lang w:eastAsia="en-GB"/>
              </w:rPr>
              <w:t>Research</w:t>
            </w:r>
          </w:p>
        </w:tc>
        <w:tc>
          <w:tcPr>
            <w:tcW w:w="1580" w:type="dxa"/>
            <w:tcBorders>
              <w:top w:val="single" w:sz="4" w:space="0" w:color="auto"/>
              <w:left w:val="nil"/>
              <w:bottom w:val="nil"/>
              <w:right w:val="nil"/>
            </w:tcBorders>
            <w:shd w:val="clear" w:color="000000" w:fill="002554"/>
            <w:vAlign w:val="center"/>
            <w:hideMark/>
          </w:tcPr>
          <w:p w14:paraId="5AC6C27E" w14:textId="77777777" w:rsidR="00C301E6" w:rsidRPr="006F02A4" w:rsidRDefault="00C301E6" w:rsidP="00E33E0E">
            <w:pPr>
              <w:spacing w:after="0" w:line="240" w:lineRule="auto"/>
              <w:jc w:val="right"/>
              <w:rPr>
                <w:rFonts w:ascii="Arial" w:eastAsia="Times New Roman" w:hAnsi="Arial" w:cs="Arial"/>
                <w:b/>
                <w:bCs/>
                <w:color w:val="FFFFFF"/>
                <w:lang w:eastAsia="en-GB"/>
              </w:rPr>
            </w:pPr>
            <w:r w:rsidRPr="006F02A4">
              <w:rPr>
                <w:rFonts w:ascii="Arial" w:eastAsia="Times New Roman" w:hAnsi="Arial" w:cs="Arial"/>
                <w:b/>
                <w:bCs/>
                <w:color w:val="FFFFFF"/>
                <w:lang w:eastAsia="en-GB"/>
              </w:rPr>
              <w:t>Other</w:t>
            </w:r>
          </w:p>
        </w:tc>
        <w:tc>
          <w:tcPr>
            <w:tcW w:w="1580" w:type="dxa"/>
            <w:tcBorders>
              <w:top w:val="single" w:sz="4" w:space="0" w:color="auto"/>
              <w:left w:val="nil"/>
              <w:bottom w:val="nil"/>
              <w:right w:val="nil"/>
            </w:tcBorders>
            <w:shd w:val="clear" w:color="000000" w:fill="002554"/>
            <w:vAlign w:val="center"/>
            <w:hideMark/>
          </w:tcPr>
          <w:p w14:paraId="16204DF8" w14:textId="77777777" w:rsidR="00C301E6" w:rsidRPr="006F02A4" w:rsidRDefault="00C301E6" w:rsidP="00E33E0E">
            <w:pPr>
              <w:spacing w:after="0" w:line="240" w:lineRule="auto"/>
              <w:jc w:val="right"/>
              <w:rPr>
                <w:rFonts w:ascii="Arial" w:eastAsia="Times New Roman" w:hAnsi="Arial" w:cs="Arial"/>
                <w:b/>
                <w:bCs/>
                <w:color w:val="FFFFFF"/>
                <w:lang w:eastAsia="en-GB"/>
              </w:rPr>
            </w:pPr>
            <w:r w:rsidRPr="006F02A4">
              <w:rPr>
                <w:rFonts w:ascii="Arial" w:eastAsia="Times New Roman" w:hAnsi="Arial" w:cs="Arial"/>
                <w:b/>
                <w:bCs/>
                <w:color w:val="FFFFFF"/>
                <w:lang w:eastAsia="en-GB"/>
              </w:rPr>
              <w:t xml:space="preserve">Other </w:t>
            </w:r>
          </w:p>
        </w:tc>
        <w:tc>
          <w:tcPr>
            <w:tcW w:w="1580" w:type="dxa"/>
            <w:tcBorders>
              <w:top w:val="single" w:sz="4" w:space="0" w:color="auto"/>
              <w:left w:val="nil"/>
              <w:bottom w:val="nil"/>
              <w:right w:val="single" w:sz="4" w:space="0" w:color="auto"/>
            </w:tcBorders>
            <w:shd w:val="clear" w:color="000000" w:fill="002554"/>
            <w:vAlign w:val="center"/>
            <w:hideMark/>
          </w:tcPr>
          <w:p w14:paraId="705BCFAC" w14:textId="77777777" w:rsidR="00C301E6" w:rsidRPr="006F02A4" w:rsidRDefault="00C301E6" w:rsidP="00E33E0E">
            <w:pPr>
              <w:spacing w:after="0" w:line="240" w:lineRule="auto"/>
              <w:jc w:val="right"/>
              <w:rPr>
                <w:rFonts w:ascii="Arial" w:eastAsia="Times New Roman" w:hAnsi="Arial" w:cs="Arial"/>
                <w:b/>
                <w:bCs/>
                <w:color w:val="FFFFFF"/>
                <w:lang w:eastAsia="en-GB"/>
              </w:rPr>
            </w:pPr>
            <w:r w:rsidRPr="006F02A4">
              <w:rPr>
                <w:rFonts w:ascii="Arial" w:eastAsia="Times New Roman" w:hAnsi="Arial" w:cs="Arial"/>
                <w:b/>
                <w:bCs/>
                <w:color w:val="FFFFFF"/>
                <w:lang w:eastAsia="en-GB"/>
              </w:rPr>
              <w:t>Total</w:t>
            </w:r>
          </w:p>
        </w:tc>
      </w:tr>
      <w:tr w:rsidR="00C301E6" w:rsidRPr="006F02A4" w14:paraId="6D44A812" w14:textId="77777777" w:rsidTr="00E33E0E">
        <w:trPr>
          <w:trHeight w:val="900"/>
        </w:trPr>
        <w:tc>
          <w:tcPr>
            <w:tcW w:w="4680" w:type="dxa"/>
            <w:tcBorders>
              <w:top w:val="nil"/>
              <w:left w:val="single" w:sz="4" w:space="0" w:color="auto"/>
              <w:bottom w:val="single" w:sz="4" w:space="0" w:color="auto"/>
              <w:right w:val="nil"/>
            </w:tcBorders>
            <w:shd w:val="clear" w:color="000000" w:fill="002554"/>
            <w:vAlign w:val="center"/>
            <w:hideMark/>
          </w:tcPr>
          <w:p w14:paraId="2AF9C1B8" w14:textId="77777777" w:rsidR="00C301E6" w:rsidRPr="006F02A4" w:rsidRDefault="00C301E6" w:rsidP="00E33E0E">
            <w:pPr>
              <w:spacing w:after="0" w:line="240" w:lineRule="auto"/>
              <w:rPr>
                <w:rFonts w:ascii="Arial" w:eastAsia="Times New Roman" w:hAnsi="Arial" w:cs="Arial"/>
                <w:b/>
                <w:bCs/>
                <w:color w:val="FFFFFF"/>
                <w:lang w:eastAsia="en-GB"/>
              </w:rPr>
            </w:pPr>
            <w:r w:rsidRPr="006F02A4">
              <w:rPr>
                <w:rFonts w:ascii="Arial" w:eastAsia="Times New Roman" w:hAnsi="Arial" w:cs="Arial"/>
                <w:b/>
                <w:bCs/>
                <w:color w:val="FFFFFF"/>
                <w:lang w:eastAsia="en-GB"/>
              </w:rPr>
              <w:t> </w:t>
            </w:r>
          </w:p>
        </w:tc>
        <w:tc>
          <w:tcPr>
            <w:tcW w:w="1580" w:type="dxa"/>
            <w:tcBorders>
              <w:top w:val="nil"/>
              <w:left w:val="nil"/>
              <w:bottom w:val="nil"/>
              <w:right w:val="nil"/>
            </w:tcBorders>
            <w:shd w:val="clear" w:color="000000" w:fill="002554"/>
            <w:vAlign w:val="center"/>
            <w:hideMark/>
          </w:tcPr>
          <w:p w14:paraId="4A89698A" w14:textId="77777777" w:rsidR="00C301E6" w:rsidRPr="006F02A4" w:rsidRDefault="00C301E6" w:rsidP="00E33E0E">
            <w:pPr>
              <w:spacing w:after="0" w:line="240" w:lineRule="auto"/>
              <w:jc w:val="right"/>
              <w:rPr>
                <w:rFonts w:ascii="Arial" w:eastAsia="Times New Roman" w:hAnsi="Arial" w:cs="Arial"/>
                <w:b/>
                <w:bCs/>
                <w:color w:val="FFFFFF"/>
                <w:lang w:eastAsia="en-GB"/>
              </w:rPr>
            </w:pPr>
            <w:r w:rsidRPr="006F02A4">
              <w:rPr>
                <w:rFonts w:ascii="Arial" w:eastAsia="Times New Roman" w:hAnsi="Arial" w:cs="Arial"/>
                <w:b/>
                <w:bCs/>
                <w:color w:val="FFFFFF"/>
                <w:lang w:eastAsia="en-GB"/>
              </w:rPr>
              <w:t xml:space="preserve"> (Publicly funded)</w:t>
            </w:r>
          </w:p>
        </w:tc>
        <w:tc>
          <w:tcPr>
            <w:tcW w:w="1580" w:type="dxa"/>
            <w:tcBorders>
              <w:top w:val="nil"/>
              <w:left w:val="nil"/>
              <w:bottom w:val="nil"/>
              <w:right w:val="nil"/>
            </w:tcBorders>
            <w:shd w:val="clear" w:color="000000" w:fill="002554"/>
            <w:vAlign w:val="center"/>
            <w:hideMark/>
          </w:tcPr>
          <w:p w14:paraId="14A2A7BB" w14:textId="77777777" w:rsidR="00C301E6" w:rsidRPr="006F02A4" w:rsidRDefault="00C301E6" w:rsidP="00E33E0E">
            <w:pPr>
              <w:spacing w:after="0" w:line="240" w:lineRule="auto"/>
              <w:jc w:val="right"/>
              <w:rPr>
                <w:rFonts w:ascii="Arial" w:eastAsia="Times New Roman" w:hAnsi="Arial" w:cs="Arial"/>
                <w:b/>
                <w:bCs/>
                <w:color w:val="FFFFFF"/>
                <w:lang w:eastAsia="en-GB"/>
              </w:rPr>
            </w:pPr>
            <w:r w:rsidRPr="006F02A4">
              <w:rPr>
                <w:rFonts w:ascii="Arial" w:eastAsia="Times New Roman" w:hAnsi="Arial" w:cs="Arial"/>
                <w:b/>
                <w:bCs/>
                <w:color w:val="FFFFFF"/>
                <w:lang w:eastAsia="en-GB"/>
              </w:rPr>
              <w:t xml:space="preserve"> (Non-publicly funded)</w:t>
            </w:r>
          </w:p>
        </w:tc>
        <w:tc>
          <w:tcPr>
            <w:tcW w:w="1580" w:type="dxa"/>
            <w:tcBorders>
              <w:top w:val="nil"/>
              <w:left w:val="nil"/>
              <w:bottom w:val="nil"/>
              <w:right w:val="nil"/>
            </w:tcBorders>
            <w:shd w:val="clear" w:color="000000" w:fill="002554"/>
            <w:vAlign w:val="center"/>
            <w:hideMark/>
          </w:tcPr>
          <w:p w14:paraId="3F09672F" w14:textId="77777777" w:rsidR="00C301E6" w:rsidRPr="006F02A4" w:rsidRDefault="00C301E6" w:rsidP="00E33E0E">
            <w:pPr>
              <w:spacing w:after="0" w:line="240" w:lineRule="auto"/>
              <w:jc w:val="right"/>
              <w:rPr>
                <w:rFonts w:ascii="Arial" w:eastAsia="Times New Roman" w:hAnsi="Arial" w:cs="Arial"/>
                <w:b/>
                <w:bCs/>
                <w:color w:val="FFFFFF"/>
                <w:lang w:eastAsia="en-GB"/>
              </w:rPr>
            </w:pPr>
            <w:r w:rsidRPr="006F02A4">
              <w:rPr>
                <w:rFonts w:ascii="Arial" w:eastAsia="Times New Roman" w:hAnsi="Arial" w:cs="Arial"/>
                <w:b/>
                <w:bCs/>
                <w:color w:val="FFFFFF"/>
                <w:lang w:eastAsia="en-GB"/>
              </w:rPr>
              <w:t> </w:t>
            </w:r>
          </w:p>
        </w:tc>
        <w:tc>
          <w:tcPr>
            <w:tcW w:w="1580" w:type="dxa"/>
            <w:tcBorders>
              <w:top w:val="nil"/>
              <w:left w:val="nil"/>
              <w:bottom w:val="nil"/>
              <w:right w:val="nil"/>
            </w:tcBorders>
            <w:shd w:val="clear" w:color="000000" w:fill="002554"/>
            <w:vAlign w:val="center"/>
            <w:hideMark/>
          </w:tcPr>
          <w:p w14:paraId="66C83D07" w14:textId="77777777" w:rsidR="00C301E6" w:rsidRPr="006F02A4" w:rsidRDefault="00C301E6" w:rsidP="00E33E0E">
            <w:pPr>
              <w:spacing w:after="0" w:line="240" w:lineRule="auto"/>
              <w:jc w:val="right"/>
              <w:rPr>
                <w:rFonts w:ascii="Arial" w:eastAsia="Times New Roman" w:hAnsi="Arial" w:cs="Arial"/>
                <w:b/>
                <w:bCs/>
                <w:color w:val="FFFFFF"/>
                <w:lang w:eastAsia="en-GB"/>
              </w:rPr>
            </w:pPr>
            <w:r w:rsidRPr="006F02A4">
              <w:rPr>
                <w:rFonts w:ascii="Arial" w:eastAsia="Times New Roman" w:hAnsi="Arial" w:cs="Arial"/>
                <w:b/>
                <w:bCs/>
                <w:color w:val="FFFFFF"/>
                <w:lang w:eastAsia="en-GB"/>
              </w:rPr>
              <w:t xml:space="preserve"> (Income-</w:t>
            </w:r>
            <w:r w:rsidRPr="006F02A4">
              <w:rPr>
                <w:rFonts w:ascii="Arial" w:eastAsia="Times New Roman" w:hAnsi="Arial" w:cs="Arial"/>
                <w:b/>
                <w:bCs/>
                <w:strike/>
                <w:color w:val="FF0000"/>
                <w:sz w:val="20"/>
                <w:szCs w:val="20"/>
                <w:lang w:eastAsia="en-GB"/>
              </w:rPr>
              <w:t xml:space="preserve"> </w:t>
            </w:r>
            <w:r w:rsidRPr="006F02A4">
              <w:rPr>
                <w:rFonts w:ascii="Arial" w:eastAsia="Times New Roman" w:hAnsi="Arial" w:cs="Arial"/>
                <w:b/>
                <w:bCs/>
                <w:color w:val="FFFFFF"/>
                <w:lang w:eastAsia="en-GB"/>
              </w:rPr>
              <w:t>generating)</w:t>
            </w:r>
          </w:p>
        </w:tc>
        <w:tc>
          <w:tcPr>
            <w:tcW w:w="1580" w:type="dxa"/>
            <w:tcBorders>
              <w:top w:val="nil"/>
              <w:left w:val="nil"/>
              <w:bottom w:val="nil"/>
              <w:right w:val="nil"/>
            </w:tcBorders>
            <w:shd w:val="clear" w:color="000000" w:fill="002554"/>
            <w:vAlign w:val="center"/>
            <w:hideMark/>
          </w:tcPr>
          <w:p w14:paraId="2ADA3645" w14:textId="77777777" w:rsidR="00C301E6" w:rsidRPr="006F02A4" w:rsidRDefault="00C301E6" w:rsidP="00E33E0E">
            <w:pPr>
              <w:spacing w:after="0" w:line="240" w:lineRule="auto"/>
              <w:jc w:val="right"/>
              <w:rPr>
                <w:rFonts w:ascii="Arial" w:eastAsia="Times New Roman" w:hAnsi="Arial" w:cs="Arial"/>
                <w:b/>
                <w:bCs/>
                <w:color w:val="FFFFFF"/>
                <w:lang w:eastAsia="en-GB"/>
              </w:rPr>
            </w:pPr>
            <w:r w:rsidRPr="006F02A4">
              <w:rPr>
                <w:rFonts w:ascii="Arial" w:eastAsia="Times New Roman" w:hAnsi="Arial" w:cs="Arial"/>
                <w:b/>
                <w:bCs/>
                <w:color w:val="FFFFFF"/>
                <w:lang w:eastAsia="en-GB"/>
              </w:rPr>
              <w:t>(Non-commercial)</w:t>
            </w:r>
          </w:p>
        </w:tc>
        <w:tc>
          <w:tcPr>
            <w:tcW w:w="1580" w:type="dxa"/>
            <w:tcBorders>
              <w:top w:val="nil"/>
              <w:left w:val="nil"/>
              <w:bottom w:val="nil"/>
              <w:right w:val="single" w:sz="4" w:space="0" w:color="auto"/>
            </w:tcBorders>
            <w:shd w:val="clear" w:color="000000" w:fill="002554"/>
            <w:vAlign w:val="center"/>
            <w:hideMark/>
          </w:tcPr>
          <w:p w14:paraId="1060D128" w14:textId="77777777" w:rsidR="00C301E6" w:rsidRPr="006F02A4" w:rsidRDefault="00C301E6" w:rsidP="00E33E0E">
            <w:pPr>
              <w:spacing w:after="0" w:line="240" w:lineRule="auto"/>
              <w:jc w:val="right"/>
              <w:rPr>
                <w:rFonts w:ascii="Arial" w:eastAsia="Times New Roman" w:hAnsi="Arial" w:cs="Arial"/>
                <w:b/>
                <w:bCs/>
                <w:color w:val="FFFFFF"/>
                <w:lang w:eastAsia="en-GB"/>
              </w:rPr>
            </w:pPr>
            <w:r w:rsidRPr="006F02A4">
              <w:rPr>
                <w:rFonts w:ascii="Arial" w:eastAsia="Times New Roman" w:hAnsi="Arial" w:cs="Arial"/>
                <w:b/>
                <w:bCs/>
                <w:color w:val="FFFFFF"/>
                <w:lang w:eastAsia="en-GB"/>
              </w:rPr>
              <w:t> </w:t>
            </w:r>
          </w:p>
        </w:tc>
      </w:tr>
      <w:tr w:rsidR="00C301E6" w:rsidRPr="006F02A4" w14:paraId="59721547" w14:textId="77777777" w:rsidTr="00480305">
        <w:trPr>
          <w:trHeight w:val="450"/>
        </w:trPr>
        <w:tc>
          <w:tcPr>
            <w:tcW w:w="4680" w:type="dxa"/>
            <w:tcBorders>
              <w:top w:val="nil"/>
              <w:left w:val="single" w:sz="4" w:space="0" w:color="auto"/>
              <w:bottom w:val="nil"/>
              <w:right w:val="nil"/>
            </w:tcBorders>
            <w:shd w:val="clear" w:color="auto" w:fill="auto"/>
            <w:vAlign w:val="center"/>
            <w:hideMark/>
          </w:tcPr>
          <w:p w14:paraId="7DF0B1BF" w14:textId="2CE07333" w:rsidR="00C301E6" w:rsidRPr="006F02A4" w:rsidRDefault="00CF7117"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TRAC i</w:t>
            </w:r>
            <w:r w:rsidR="00C301E6" w:rsidRPr="006F02A4">
              <w:rPr>
                <w:rFonts w:ascii="Arial" w:eastAsia="Times New Roman" w:hAnsi="Arial" w:cs="Arial"/>
                <w:lang w:eastAsia="en-GB"/>
              </w:rPr>
              <w:t>ncome</w:t>
            </w:r>
          </w:p>
        </w:tc>
        <w:tc>
          <w:tcPr>
            <w:tcW w:w="1580" w:type="dxa"/>
            <w:tcBorders>
              <w:top w:val="nil"/>
              <w:left w:val="nil"/>
              <w:bottom w:val="nil"/>
              <w:right w:val="nil"/>
            </w:tcBorders>
            <w:shd w:val="clear" w:color="auto" w:fill="auto"/>
            <w:vAlign w:val="center"/>
          </w:tcPr>
          <w:p w14:paraId="15DFEC4B"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15,872</w:t>
            </w:r>
          </w:p>
        </w:tc>
        <w:tc>
          <w:tcPr>
            <w:tcW w:w="1580" w:type="dxa"/>
            <w:tcBorders>
              <w:top w:val="nil"/>
              <w:left w:val="nil"/>
              <w:bottom w:val="nil"/>
              <w:right w:val="nil"/>
            </w:tcBorders>
            <w:shd w:val="clear" w:color="auto" w:fill="auto"/>
            <w:vAlign w:val="center"/>
          </w:tcPr>
          <w:p w14:paraId="4A78AF1F"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7,244</w:t>
            </w:r>
          </w:p>
        </w:tc>
        <w:tc>
          <w:tcPr>
            <w:tcW w:w="1580" w:type="dxa"/>
            <w:tcBorders>
              <w:top w:val="nil"/>
              <w:left w:val="nil"/>
              <w:bottom w:val="nil"/>
              <w:right w:val="nil"/>
            </w:tcBorders>
            <w:shd w:val="clear" w:color="auto" w:fill="auto"/>
            <w:vAlign w:val="center"/>
          </w:tcPr>
          <w:p w14:paraId="12E302BE"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10,531</w:t>
            </w:r>
          </w:p>
        </w:tc>
        <w:tc>
          <w:tcPr>
            <w:tcW w:w="1580" w:type="dxa"/>
            <w:tcBorders>
              <w:top w:val="nil"/>
              <w:left w:val="nil"/>
              <w:bottom w:val="nil"/>
              <w:right w:val="nil"/>
            </w:tcBorders>
            <w:shd w:val="clear" w:color="auto" w:fill="auto"/>
            <w:vAlign w:val="center"/>
          </w:tcPr>
          <w:p w14:paraId="29ECFBA1"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6,026</w:t>
            </w:r>
          </w:p>
        </w:tc>
        <w:tc>
          <w:tcPr>
            <w:tcW w:w="1580" w:type="dxa"/>
            <w:tcBorders>
              <w:top w:val="nil"/>
              <w:left w:val="nil"/>
              <w:bottom w:val="nil"/>
              <w:right w:val="nil"/>
            </w:tcBorders>
            <w:shd w:val="clear" w:color="auto" w:fill="auto"/>
            <w:vAlign w:val="center"/>
          </w:tcPr>
          <w:p w14:paraId="037E29B5"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1,226</w:t>
            </w:r>
          </w:p>
        </w:tc>
        <w:tc>
          <w:tcPr>
            <w:tcW w:w="1580" w:type="dxa"/>
            <w:tcBorders>
              <w:top w:val="nil"/>
              <w:left w:val="nil"/>
              <w:bottom w:val="nil"/>
              <w:right w:val="single" w:sz="4" w:space="0" w:color="auto"/>
            </w:tcBorders>
            <w:shd w:val="clear" w:color="auto" w:fill="auto"/>
            <w:vAlign w:val="center"/>
          </w:tcPr>
          <w:p w14:paraId="1A12AC8B"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40,899</w:t>
            </w:r>
          </w:p>
        </w:tc>
      </w:tr>
      <w:tr w:rsidR="00C301E6" w:rsidRPr="006F02A4" w14:paraId="667DB752" w14:textId="77777777" w:rsidTr="00480305">
        <w:trPr>
          <w:trHeight w:val="450"/>
        </w:trPr>
        <w:tc>
          <w:tcPr>
            <w:tcW w:w="4680" w:type="dxa"/>
            <w:tcBorders>
              <w:top w:val="nil"/>
              <w:left w:val="single" w:sz="4" w:space="0" w:color="auto"/>
              <w:bottom w:val="single" w:sz="4" w:space="0" w:color="auto"/>
              <w:right w:val="nil"/>
            </w:tcBorders>
            <w:shd w:val="clear" w:color="auto" w:fill="auto"/>
            <w:vAlign w:val="center"/>
            <w:hideMark/>
          </w:tcPr>
          <w:p w14:paraId="08A73B42" w14:textId="77777777" w:rsidR="00C301E6" w:rsidRPr="006F02A4" w:rsidRDefault="00C301E6"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TRAC full economic costs</w:t>
            </w:r>
          </w:p>
        </w:tc>
        <w:tc>
          <w:tcPr>
            <w:tcW w:w="1580" w:type="dxa"/>
            <w:tcBorders>
              <w:top w:val="nil"/>
              <w:left w:val="nil"/>
              <w:bottom w:val="single" w:sz="4" w:space="0" w:color="auto"/>
              <w:right w:val="nil"/>
            </w:tcBorders>
            <w:shd w:val="clear" w:color="auto" w:fill="auto"/>
            <w:vAlign w:val="center"/>
          </w:tcPr>
          <w:p w14:paraId="12990D20"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16,569</w:t>
            </w:r>
          </w:p>
        </w:tc>
        <w:tc>
          <w:tcPr>
            <w:tcW w:w="1580" w:type="dxa"/>
            <w:tcBorders>
              <w:top w:val="nil"/>
              <w:left w:val="nil"/>
              <w:bottom w:val="single" w:sz="4" w:space="0" w:color="auto"/>
              <w:right w:val="nil"/>
            </w:tcBorders>
            <w:shd w:val="clear" w:color="auto" w:fill="auto"/>
            <w:vAlign w:val="center"/>
          </w:tcPr>
          <w:p w14:paraId="1499364E"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4,918</w:t>
            </w:r>
          </w:p>
        </w:tc>
        <w:tc>
          <w:tcPr>
            <w:tcW w:w="1580" w:type="dxa"/>
            <w:tcBorders>
              <w:top w:val="nil"/>
              <w:left w:val="nil"/>
              <w:bottom w:val="single" w:sz="4" w:space="0" w:color="auto"/>
              <w:right w:val="nil"/>
            </w:tcBorders>
            <w:shd w:val="clear" w:color="auto" w:fill="auto"/>
            <w:vAlign w:val="center"/>
          </w:tcPr>
          <w:p w14:paraId="54C51238"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15,105</w:t>
            </w:r>
          </w:p>
        </w:tc>
        <w:tc>
          <w:tcPr>
            <w:tcW w:w="1580" w:type="dxa"/>
            <w:tcBorders>
              <w:top w:val="nil"/>
              <w:left w:val="nil"/>
              <w:bottom w:val="single" w:sz="4" w:space="0" w:color="auto"/>
              <w:right w:val="nil"/>
            </w:tcBorders>
            <w:shd w:val="clear" w:color="auto" w:fill="auto"/>
            <w:vAlign w:val="center"/>
          </w:tcPr>
          <w:p w14:paraId="2758DDEA"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6,824</w:t>
            </w:r>
          </w:p>
        </w:tc>
        <w:tc>
          <w:tcPr>
            <w:tcW w:w="1580" w:type="dxa"/>
            <w:tcBorders>
              <w:top w:val="nil"/>
              <w:left w:val="nil"/>
              <w:bottom w:val="single" w:sz="4" w:space="0" w:color="auto"/>
              <w:right w:val="nil"/>
            </w:tcBorders>
            <w:shd w:val="clear" w:color="auto" w:fill="auto"/>
            <w:vAlign w:val="center"/>
          </w:tcPr>
          <w:p w14:paraId="17461F3F"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656</w:t>
            </w:r>
          </w:p>
        </w:tc>
        <w:tc>
          <w:tcPr>
            <w:tcW w:w="1580" w:type="dxa"/>
            <w:tcBorders>
              <w:top w:val="nil"/>
              <w:left w:val="nil"/>
              <w:bottom w:val="single" w:sz="4" w:space="0" w:color="auto"/>
              <w:right w:val="single" w:sz="4" w:space="0" w:color="auto"/>
            </w:tcBorders>
            <w:shd w:val="clear" w:color="auto" w:fill="auto"/>
            <w:vAlign w:val="center"/>
          </w:tcPr>
          <w:p w14:paraId="78296111"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44,072</w:t>
            </w:r>
          </w:p>
        </w:tc>
      </w:tr>
      <w:tr w:rsidR="00C301E6" w:rsidRPr="006F02A4" w14:paraId="777CF3BD" w14:textId="77777777" w:rsidTr="00480305">
        <w:trPr>
          <w:trHeight w:val="450"/>
        </w:trPr>
        <w:tc>
          <w:tcPr>
            <w:tcW w:w="4680" w:type="dxa"/>
            <w:tcBorders>
              <w:top w:val="nil"/>
              <w:left w:val="single" w:sz="4" w:space="0" w:color="auto"/>
              <w:bottom w:val="single" w:sz="4" w:space="0" w:color="auto"/>
              <w:right w:val="nil"/>
            </w:tcBorders>
            <w:shd w:val="clear" w:color="auto" w:fill="auto"/>
            <w:vAlign w:val="center"/>
            <w:hideMark/>
          </w:tcPr>
          <w:p w14:paraId="7FEE9F39" w14:textId="3A5599A5" w:rsidR="00C301E6" w:rsidRPr="006F02A4" w:rsidRDefault="00D039D8" w:rsidP="00E33E0E">
            <w:pPr>
              <w:spacing w:after="0" w:line="240" w:lineRule="auto"/>
              <w:rPr>
                <w:rFonts w:ascii="Arial" w:eastAsia="Times New Roman" w:hAnsi="Arial" w:cs="Arial"/>
                <w:lang w:eastAsia="en-GB"/>
              </w:rPr>
            </w:pPr>
            <w:r>
              <w:rPr>
                <w:rFonts w:ascii="Arial" w:eastAsia="Times New Roman" w:hAnsi="Arial" w:cs="Arial"/>
                <w:lang w:eastAsia="en-GB"/>
              </w:rPr>
              <w:t>TRAC s</w:t>
            </w:r>
            <w:r w:rsidR="00C301E6" w:rsidRPr="006F02A4">
              <w:rPr>
                <w:rFonts w:ascii="Arial" w:eastAsia="Times New Roman" w:hAnsi="Arial" w:cs="Arial"/>
                <w:lang w:eastAsia="en-GB"/>
              </w:rPr>
              <w:t>urplus/(deficit)</w:t>
            </w:r>
          </w:p>
        </w:tc>
        <w:tc>
          <w:tcPr>
            <w:tcW w:w="1580" w:type="dxa"/>
            <w:tcBorders>
              <w:top w:val="nil"/>
              <w:left w:val="nil"/>
              <w:bottom w:val="single" w:sz="4" w:space="0" w:color="auto"/>
              <w:right w:val="nil"/>
            </w:tcBorders>
            <w:shd w:val="clear" w:color="auto" w:fill="auto"/>
            <w:vAlign w:val="center"/>
          </w:tcPr>
          <w:p w14:paraId="005F5721"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(696)</w:t>
            </w:r>
          </w:p>
        </w:tc>
        <w:tc>
          <w:tcPr>
            <w:tcW w:w="1580" w:type="dxa"/>
            <w:tcBorders>
              <w:top w:val="nil"/>
              <w:left w:val="nil"/>
              <w:bottom w:val="single" w:sz="4" w:space="0" w:color="auto"/>
              <w:right w:val="nil"/>
            </w:tcBorders>
            <w:shd w:val="clear" w:color="auto" w:fill="auto"/>
            <w:vAlign w:val="center"/>
          </w:tcPr>
          <w:p w14:paraId="649E458F"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2,326</w:t>
            </w:r>
          </w:p>
        </w:tc>
        <w:tc>
          <w:tcPr>
            <w:tcW w:w="1580" w:type="dxa"/>
            <w:tcBorders>
              <w:top w:val="nil"/>
              <w:left w:val="nil"/>
              <w:bottom w:val="single" w:sz="4" w:space="0" w:color="auto"/>
              <w:right w:val="nil"/>
            </w:tcBorders>
            <w:shd w:val="clear" w:color="auto" w:fill="auto"/>
            <w:vAlign w:val="center"/>
          </w:tcPr>
          <w:p w14:paraId="26DF5E1D"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(4,575)</w:t>
            </w:r>
          </w:p>
        </w:tc>
        <w:tc>
          <w:tcPr>
            <w:tcW w:w="1580" w:type="dxa"/>
            <w:tcBorders>
              <w:top w:val="nil"/>
              <w:left w:val="nil"/>
              <w:bottom w:val="single" w:sz="4" w:space="0" w:color="auto"/>
              <w:right w:val="nil"/>
            </w:tcBorders>
            <w:shd w:val="clear" w:color="auto" w:fill="auto"/>
            <w:vAlign w:val="center"/>
          </w:tcPr>
          <w:p w14:paraId="622A3442"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(798)</w:t>
            </w:r>
          </w:p>
        </w:tc>
        <w:tc>
          <w:tcPr>
            <w:tcW w:w="1580" w:type="dxa"/>
            <w:tcBorders>
              <w:top w:val="nil"/>
              <w:left w:val="nil"/>
              <w:bottom w:val="single" w:sz="4" w:space="0" w:color="auto"/>
              <w:right w:val="nil"/>
            </w:tcBorders>
            <w:shd w:val="clear" w:color="auto" w:fill="auto"/>
            <w:vAlign w:val="center"/>
          </w:tcPr>
          <w:p w14:paraId="0823AAE3"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570</w:t>
            </w:r>
          </w:p>
        </w:tc>
        <w:tc>
          <w:tcPr>
            <w:tcW w:w="1580" w:type="dxa"/>
            <w:tcBorders>
              <w:top w:val="nil"/>
              <w:left w:val="nil"/>
              <w:bottom w:val="single" w:sz="4" w:space="0" w:color="auto"/>
              <w:right w:val="single" w:sz="4" w:space="0" w:color="auto"/>
            </w:tcBorders>
            <w:shd w:val="clear" w:color="auto" w:fill="auto"/>
            <w:vAlign w:val="center"/>
          </w:tcPr>
          <w:p w14:paraId="5B5F70F3"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(3,172)</w:t>
            </w:r>
          </w:p>
        </w:tc>
      </w:tr>
      <w:tr w:rsidR="00C301E6" w:rsidRPr="006F02A4" w14:paraId="034BDE76" w14:textId="77777777" w:rsidTr="00480305">
        <w:trPr>
          <w:trHeight w:val="450"/>
        </w:trPr>
        <w:tc>
          <w:tcPr>
            <w:tcW w:w="4680" w:type="dxa"/>
            <w:tcBorders>
              <w:top w:val="nil"/>
              <w:left w:val="single" w:sz="4" w:space="0" w:color="auto"/>
              <w:bottom w:val="nil"/>
              <w:right w:val="nil"/>
            </w:tcBorders>
            <w:shd w:val="clear" w:color="auto" w:fill="auto"/>
            <w:vAlign w:val="center"/>
            <w:hideMark/>
          </w:tcPr>
          <w:p w14:paraId="0F9F9538" w14:textId="3DE2A06D" w:rsidR="00C301E6" w:rsidRPr="006F02A4" w:rsidRDefault="00D039D8" w:rsidP="00E33E0E">
            <w:pPr>
              <w:spacing w:after="0" w:line="240" w:lineRule="auto"/>
              <w:rPr>
                <w:rFonts w:ascii="Arial" w:eastAsia="Times New Roman" w:hAnsi="Arial" w:cs="Arial"/>
                <w:lang w:eastAsia="en-GB"/>
              </w:rPr>
            </w:pPr>
            <w:r>
              <w:rPr>
                <w:rFonts w:ascii="Arial" w:eastAsia="Times New Roman" w:hAnsi="Arial" w:cs="Arial"/>
                <w:lang w:eastAsia="en-GB"/>
              </w:rPr>
              <w:t>TRAC s</w:t>
            </w:r>
            <w:r w:rsidR="00C301E6" w:rsidRPr="006F02A4">
              <w:rPr>
                <w:rFonts w:ascii="Arial" w:eastAsia="Times New Roman" w:hAnsi="Arial" w:cs="Arial"/>
                <w:lang w:eastAsia="en-GB"/>
              </w:rPr>
              <w:t>urplus/(deficit) as % of income</w:t>
            </w:r>
          </w:p>
        </w:tc>
        <w:tc>
          <w:tcPr>
            <w:tcW w:w="1580" w:type="dxa"/>
            <w:tcBorders>
              <w:top w:val="nil"/>
              <w:left w:val="nil"/>
              <w:bottom w:val="nil"/>
              <w:right w:val="nil"/>
            </w:tcBorders>
            <w:shd w:val="clear" w:color="auto" w:fill="auto"/>
            <w:vAlign w:val="center"/>
          </w:tcPr>
          <w:p w14:paraId="782C4D0C"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(4.4%)</w:t>
            </w:r>
          </w:p>
        </w:tc>
        <w:tc>
          <w:tcPr>
            <w:tcW w:w="1580" w:type="dxa"/>
            <w:tcBorders>
              <w:top w:val="nil"/>
              <w:left w:val="nil"/>
              <w:bottom w:val="nil"/>
              <w:right w:val="nil"/>
            </w:tcBorders>
            <w:shd w:val="clear" w:color="auto" w:fill="auto"/>
            <w:vAlign w:val="center"/>
          </w:tcPr>
          <w:p w14:paraId="5694BF0B"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32.1%</w:t>
            </w:r>
          </w:p>
        </w:tc>
        <w:tc>
          <w:tcPr>
            <w:tcW w:w="1580" w:type="dxa"/>
            <w:tcBorders>
              <w:top w:val="nil"/>
              <w:left w:val="nil"/>
              <w:bottom w:val="nil"/>
              <w:right w:val="nil"/>
            </w:tcBorders>
            <w:shd w:val="clear" w:color="auto" w:fill="auto"/>
            <w:vAlign w:val="center"/>
          </w:tcPr>
          <w:p w14:paraId="2371E23D"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(43.4%)</w:t>
            </w:r>
          </w:p>
        </w:tc>
        <w:tc>
          <w:tcPr>
            <w:tcW w:w="1580" w:type="dxa"/>
            <w:tcBorders>
              <w:top w:val="nil"/>
              <w:left w:val="nil"/>
              <w:bottom w:val="nil"/>
              <w:right w:val="nil"/>
            </w:tcBorders>
            <w:shd w:val="clear" w:color="auto" w:fill="auto"/>
            <w:vAlign w:val="center"/>
          </w:tcPr>
          <w:p w14:paraId="6300FE72"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(13.2%)</w:t>
            </w:r>
          </w:p>
        </w:tc>
        <w:tc>
          <w:tcPr>
            <w:tcW w:w="1580" w:type="dxa"/>
            <w:tcBorders>
              <w:top w:val="nil"/>
              <w:left w:val="nil"/>
              <w:bottom w:val="nil"/>
              <w:right w:val="nil"/>
            </w:tcBorders>
            <w:shd w:val="clear" w:color="auto" w:fill="auto"/>
            <w:vAlign w:val="center"/>
          </w:tcPr>
          <w:p w14:paraId="382E55C6"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46.5%</w:t>
            </w:r>
          </w:p>
        </w:tc>
        <w:tc>
          <w:tcPr>
            <w:tcW w:w="1580" w:type="dxa"/>
            <w:tcBorders>
              <w:top w:val="nil"/>
              <w:left w:val="nil"/>
              <w:bottom w:val="nil"/>
              <w:right w:val="single" w:sz="4" w:space="0" w:color="auto"/>
            </w:tcBorders>
            <w:shd w:val="clear" w:color="auto" w:fill="auto"/>
            <w:vAlign w:val="center"/>
          </w:tcPr>
          <w:p w14:paraId="649D5828"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(7.8%)</w:t>
            </w:r>
          </w:p>
        </w:tc>
      </w:tr>
      <w:tr w:rsidR="00C301E6" w:rsidRPr="006F02A4" w14:paraId="216AF671" w14:textId="77777777" w:rsidTr="00480305">
        <w:trPr>
          <w:trHeight w:val="450"/>
        </w:trPr>
        <w:tc>
          <w:tcPr>
            <w:tcW w:w="4680" w:type="dxa"/>
            <w:tcBorders>
              <w:top w:val="nil"/>
              <w:left w:val="single" w:sz="4" w:space="0" w:color="auto"/>
              <w:bottom w:val="nil"/>
              <w:right w:val="nil"/>
            </w:tcBorders>
            <w:shd w:val="clear" w:color="auto" w:fill="auto"/>
            <w:vAlign w:val="center"/>
            <w:hideMark/>
          </w:tcPr>
          <w:p w14:paraId="10A205E0" w14:textId="77777777" w:rsidR="00C301E6" w:rsidRPr="006F02A4" w:rsidRDefault="00C301E6" w:rsidP="00E33E0E">
            <w:pPr>
              <w:spacing w:after="0" w:line="240" w:lineRule="auto"/>
              <w:rPr>
                <w:rFonts w:ascii="Arial" w:eastAsia="Times New Roman" w:hAnsi="Arial" w:cs="Arial"/>
                <w:b/>
                <w:bCs/>
                <w:lang w:eastAsia="en-GB"/>
              </w:rPr>
            </w:pPr>
            <w:r w:rsidRPr="006F02A4">
              <w:rPr>
                <w:rFonts w:ascii="Arial" w:eastAsia="Times New Roman" w:hAnsi="Arial" w:cs="Arial"/>
                <w:b/>
                <w:bCs/>
                <w:lang w:eastAsia="en-GB"/>
              </w:rPr>
              <w:t>Recovery of full economic costs %</w:t>
            </w:r>
          </w:p>
        </w:tc>
        <w:tc>
          <w:tcPr>
            <w:tcW w:w="1580" w:type="dxa"/>
            <w:tcBorders>
              <w:top w:val="nil"/>
              <w:left w:val="nil"/>
              <w:bottom w:val="nil"/>
              <w:right w:val="nil"/>
            </w:tcBorders>
            <w:shd w:val="clear" w:color="auto" w:fill="auto"/>
            <w:vAlign w:val="center"/>
          </w:tcPr>
          <w:p w14:paraId="32C80DE9" w14:textId="77777777" w:rsidR="00C301E6" w:rsidRPr="006F02A4" w:rsidRDefault="00C301E6" w:rsidP="00480305">
            <w:pPr>
              <w:spacing w:after="0" w:line="240" w:lineRule="auto"/>
              <w:jc w:val="right"/>
              <w:rPr>
                <w:rFonts w:ascii="Arial" w:eastAsia="Times New Roman" w:hAnsi="Arial" w:cs="Arial"/>
                <w:b/>
                <w:bCs/>
                <w:lang w:eastAsia="en-GB"/>
              </w:rPr>
            </w:pPr>
            <w:r w:rsidRPr="006F02A4">
              <w:rPr>
                <w:rFonts w:ascii="Arial" w:hAnsi="Arial" w:cs="Arial"/>
                <w:color w:val="000000"/>
              </w:rPr>
              <w:t>95.8%</w:t>
            </w:r>
          </w:p>
        </w:tc>
        <w:tc>
          <w:tcPr>
            <w:tcW w:w="1580" w:type="dxa"/>
            <w:tcBorders>
              <w:top w:val="nil"/>
              <w:left w:val="nil"/>
              <w:bottom w:val="nil"/>
              <w:right w:val="nil"/>
            </w:tcBorders>
            <w:shd w:val="clear" w:color="auto" w:fill="auto"/>
            <w:vAlign w:val="center"/>
          </w:tcPr>
          <w:p w14:paraId="3FCA8294" w14:textId="77777777" w:rsidR="00C301E6" w:rsidRPr="006F02A4" w:rsidRDefault="00C301E6" w:rsidP="00480305">
            <w:pPr>
              <w:spacing w:after="0" w:line="240" w:lineRule="auto"/>
              <w:jc w:val="right"/>
              <w:rPr>
                <w:rFonts w:ascii="Arial" w:eastAsia="Times New Roman" w:hAnsi="Arial" w:cs="Arial"/>
                <w:b/>
                <w:bCs/>
                <w:lang w:eastAsia="en-GB"/>
              </w:rPr>
            </w:pPr>
            <w:r w:rsidRPr="006F02A4">
              <w:rPr>
                <w:rFonts w:ascii="Arial" w:hAnsi="Arial" w:cs="Arial"/>
                <w:color w:val="000000"/>
              </w:rPr>
              <w:t>147.3%</w:t>
            </w:r>
          </w:p>
        </w:tc>
        <w:tc>
          <w:tcPr>
            <w:tcW w:w="1580" w:type="dxa"/>
            <w:tcBorders>
              <w:top w:val="nil"/>
              <w:left w:val="nil"/>
              <w:bottom w:val="nil"/>
              <w:right w:val="nil"/>
            </w:tcBorders>
            <w:shd w:val="clear" w:color="auto" w:fill="auto"/>
            <w:vAlign w:val="center"/>
          </w:tcPr>
          <w:p w14:paraId="570046EC" w14:textId="77777777" w:rsidR="00C301E6" w:rsidRPr="006F02A4" w:rsidRDefault="00C301E6" w:rsidP="00480305">
            <w:pPr>
              <w:spacing w:after="0" w:line="240" w:lineRule="auto"/>
              <w:jc w:val="right"/>
              <w:rPr>
                <w:rFonts w:ascii="Arial" w:eastAsia="Times New Roman" w:hAnsi="Arial" w:cs="Arial"/>
                <w:b/>
                <w:bCs/>
                <w:lang w:eastAsia="en-GB"/>
              </w:rPr>
            </w:pPr>
            <w:r w:rsidRPr="006F02A4">
              <w:rPr>
                <w:rFonts w:ascii="Arial" w:hAnsi="Arial" w:cs="Arial"/>
                <w:color w:val="000000"/>
              </w:rPr>
              <w:t>69.7%</w:t>
            </w:r>
          </w:p>
        </w:tc>
        <w:tc>
          <w:tcPr>
            <w:tcW w:w="1580" w:type="dxa"/>
            <w:tcBorders>
              <w:top w:val="nil"/>
              <w:left w:val="nil"/>
              <w:bottom w:val="nil"/>
              <w:right w:val="nil"/>
            </w:tcBorders>
            <w:shd w:val="clear" w:color="auto" w:fill="auto"/>
            <w:vAlign w:val="center"/>
          </w:tcPr>
          <w:p w14:paraId="40ADBFCC" w14:textId="77777777" w:rsidR="00C301E6" w:rsidRPr="006F02A4" w:rsidRDefault="00C301E6" w:rsidP="00480305">
            <w:pPr>
              <w:spacing w:after="0" w:line="240" w:lineRule="auto"/>
              <w:jc w:val="right"/>
              <w:rPr>
                <w:rFonts w:ascii="Arial" w:eastAsia="Times New Roman" w:hAnsi="Arial" w:cs="Arial"/>
                <w:b/>
                <w:bCs/>
                <w:lang w:eastAsia="en-GB"/>
              </w:rPr>
            </w:pPr>
            <w:r w:rsidRPr="006F02A4">
              <w:rPr>
                <w:rFonts w:ascii="Arial" w:hAnsi="Arial" w:cs="Arial"/>
                <w:color w:val="000000"/>
              </w:rPr>
              <w:t>88.3%</w:t>
            </w:r>
          </w:p>
        </w:tc>
        <w:tc>
          <w:tcPr>
            <w:tcW w:w="1580" w:type="dxa"/>
            <w:tcBorders>
              <w:top w:val="nil"/>
              <w:left w:val="nil"/>
              <w:bottom w:val="nil"/>
              <w:right w:val="nil"/>
            </w:tcBorders>
            <w:shd w:val="clear" w:color="auto" w:fill="auto"/>
            <w:vAlign w:val="center"/>
          </w:tcPr>
          <w:p w14:paraId="64A3DCCF" w14:textId="77777777" w:rsidR="00C301E6" w:rsidRPr="006F02A4" w:rsidRDefault="00C301E6" w:rsidP="00480305">
            <w:pPr>
              <w:spacing w:after="0" w:line="240" w:lineRule="auto"/>
              <w:jc w:val="right"/>
              <w:rPr>
                <w:rFonts w:ascii="Arial" w:eastAsia="Times New Roman" w:hAnsi="Arial" w:cs="Arial"/>
                <w:b/>
                <w:bCs/>
                <w:lang w:eastAsia="en-GB"/>
              </w:rPr>
            </w:pPr>
            <w:r w:rsidRPr="006F02A4">
              <w:rPr>
                <w:rFonts w:ascii="Arial" w:hAnsi="Arial" w:cs="Arial"/>
                <w:color w:val="000000"/>
              </w:rPr>
              <w:t>187.0%</w:t>
            </w:r>
          </w:p>
        </w:tc>
        <w:tc>
          <w:tcPr>
            <w:tcW w:w="1580" w:type="dxa"/>
            <w:tcBorders>
              <w:top w:val="nil"/>
              <w:left w:val="nil"/>
              <w:bottom w:val="nil"/>
              <w:right w:val="single" w:sz="4" w:space="0" w:color="auto"/>
            </w:tcBorders>
            <w:shd w:val="clear" w:color="auto" w:fill="auto"/>
            <w:vAlign w:val="center"/>
          </w:tcPr>
          <w:p w14:paraId="7D5ADA05" w14:textId="77777777" w:rsidR="00C301E6" w:rsidRPr="006F02A4" w:rsidRDefault="00C301E6" w:rsidP="00480305">
            <w:pPr>
              <w:spacing w:after="0" w:line="240" w:lineRule="auto"/>
              <w:jc w:val="right"/>
              <w:rPr>
                <w:rFonts w:ascii="Arial" w:eastAsia="Times New Roman" w:hAnsi="Arial" w:cs="Arial"/>
                <w:b/>
                <w:bCs/>
                <w:lang w:eastAsia="en-GB"/>
              </w:rPr>
            </w:pPr>
            <w:r w:rsidRPr="006F02A4">
              <w:rPr>
                <w:rFonts w:ascii="Arial" w:hAnsi="Arial" w:cs="Arial"/>
                <w:color w:val="000000"/>
              </w:rPr>
              <w:t>92.8%</w:t>
            </w:r>
          </w:p>
        </w:tc>
      </w:tr>
      <w:tr w:rsidR="00C301E6" w:rsidRPr="006F02A4" w14:paraId="20C68190" w14:textId="77777777" w:rsidTr="00480305">
        <w:trPr>
          <w:trHeight w:val="450"/>
        </w:trPr>
        <w:tc>
          <w:tcPr>
            <w:tcW w:w="4680" w:type="dxa"/>
            <w:tcBorders>
              <w:top w:val="nil"/>
              <w:left w:val="single" w:sz="4" w:space="0" w:color="auto"/>
              <w:bottom w:val="single" w:sz="4" w:space="0" w:color="auto"/>
              <w:right w:val="nil"/>
            </w:tcBorders>
            <w:shd w:val="clear" w:color="auto" w:fill="auto"/>
            <w:vAlign w:val="center"/>
            <w:hideMark/>
          </w:tcPr>
          <w:p w14:paraId="1F7D1403" w14:textId="77777777" w:rsidR="00C301E6" w:rsidRPr="006F02A4" w:rsidRDefault="00C301E6"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Recovery of full economic costs % (2018-19)</w:t>
            </w:r>
          </w:p>
        </w:tc>
        <w:tc>
          <w:tcPr>
            <w:tcW w:w="1580" w:type="dxa"/>
            <w:tcBorders>
              <w:top w:val="nil"/>
              <w:left w:val="nil"/>
              <w:bottom w:val="single" w:sz="4" w:space="0" w:color="auto"/>
              <w:right w:val="nil"/>
            </w:tcBorders>
            <w:shd w:val="clear" w:color="auto" w:fill="auto"/>
            <w:vAlign w:val="center"/>
          </w:tcPr>
          <w:p w14:paraId="1C756B18"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96.2%</w:t>
            </w:r>
          </w:p>
        </w:tc>
        <w:tc>
          <w:tcPr>
            <w:tcW w:w="1580" w:type="dxa"/>
            <w:tcBorders>
              <w:top w:val="nil"/>
              <w:left w:val="nil"/>
              <w:bottom w:val="single" w:sz="4" w:space="0" w:color="auto"/>
              <w:right w:val="nil"/>
            </w:tcBorders>
            <w:shd w:val="clear" w:color="auto" w:fill="auto"/>
            <w:vAlign w:val="center"/>
          </w:tcPr>
          <w:p w14:paraId="5F9A2D71"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144.2%</w:t>
            </w:r>
          </w:p>
        </w:tc>
        <w:tc>
          <w:tcPr>
            <w:tcW w:w="1580" w:type="dxa"/>
            <w:tcBorders>
              <w:top w:val="nil"/>
              <w:left w:val="nil"/>
              <w:bottom w:val="single" w:sz="4" w:space="0" w:color="auto"/>
              <w:right w:val="nil"/>
            </w:tcBorders>
            <w:shd w:val="clear" w:color="auto" w:fill="auto"/>
            <w:vAlign w:val="center"/>
          </w:tcPr>
          <w:p w14:paraId="38CE2AF5"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70.8%</w:t>
            </w:r>
          </w:p>
        </w:tc>
        <w:tc>
          <w:tcPr>
            <w:tcW w:w="1580" w:type="dxa"/>
            <w:tcBorders>
              <w:top w:val="nil"/>
              <w:left w:val="nil"/>
              <w:bottom w:val="single" w:sz="4" w:space="0" w:color="auto"/>
              <w:right w:val="nil"/>
            </w:tcBorders>
            <w:shd w:val="clear" w:color="auto" w:fill="auto"/>
            <w:vAlign w:val="center"/>
          </w:tcPr>
          <w:p w14:paraId="5852C9DA"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104.3%</w:t>
            </w:r>
          </w:p>
        </w:tc>
        <w:tc>
          <w:tcPr>
            <w:tcW w:w="1580" w:type="dxa"/>
            <w:tcBorders>
              <w:top w:val="nil"/>
              <w:left w:val="nil"/>
              <w:bottom w:val="single" w:sz="4" w:space="0" w:color="auto"/>
              <w:right w:val="nil"/>
            </w:tcBorders>
            <w:shd w:val="clear" w:color="auto" w:fill="auto"/>
            <w:vAlign w:val="center"/>
          </w:tcPr>
          <w:p w14:paraId="7B1689A8"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348.0%</w:t>
            </w:r>
          </w:p>
        </w:tc>
        <w:tc>
          <w:tcPr>
            <w:tcW w:w="1580" w:type="dxa"/>
            <w:tcBorders>
              <w:top w:val="nil"/>
              <w:left w:val="nil"/>
              <w:bottom w:val="single" w:sz="4" w:space="0" w:color="auto"/>
              <w:right w:val="single" w:sz="4" w:space="0" w:color="auto"/>
            </w:tcBorders>
            <w:shd w:val="clear" w:color="auto" w:fill="auto"/>
            <w:vAlign w:val="center"/>
          </w:tcPr>
          <w:p w14:paraId="2AABED97"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96.1%</w:t>
            </w:r>
          </w:p>
        </w:tc>
      </w:tr>
      <w:tr w:rsidR="00C301E6" w:rsidRPr="006F02A4" w14:paraId="427557A6" w14:textId="77777777" w:rsidTr="00480305">
        <w:trPr>
          <w:trHeight w:val="287"/>
        </w:trPr>
        <w:tc>
          <w:tcPr>
            <w:tcW w:w="4680" w:type="dxa"/>
            <w:tcBorders>
              <w:top w:val="nil"/>
              <w:left w:val="single" w:sz="4" w:space="0" w:color="auto"/>
              <w:bottom w:val="nil"/>
              <w:right w:val="nil"/>
            </w:tcBorders>
            <w:shd w:val="clear" w:color="auto" w:fill="auto"/>
            <w:vAlign w:val="center"/>
            <w:hideMark/>
          </w:tcPr>
          <w:p w14:paraId="7A6544A1" w14:textId="77777777" w:rsidR="00C301E6" w:rsidRPr="006F02A4" w:rsidRDefault="00C301E6" w:rsidP="00E33E0E">
            <w:pPr>
              <w:spacing w:after="0" w:line="240" w:lineRule="auto"/>
              <w:rPr>
                <w:rFonts w:ascii="Arial" w:eastAsia="Times New Roman" w:hAnsi="Arial" w:cs="Arial"/>
                <w:b/>
                <w:bCs/>
                <w:lang w:eastAsia="en-GB"/>
              </w:rPr>
            </w:pPr>
            <w:r w:rsidRPr="006F02A4">
              <w:rPr>
                <w:rFonts w:ascii="Arial" w:eastAsia="Times New Roman" w:hAnsi="Arial" w:cs="Arial"/>
                <w:b/>
                <w:bCs/>
                <w:lang w:eastAsia="en-GB"/>
              </w:rPr>
              <w:t>Included in income</w:t>
            </w:r>
          </w:p>
        </w:tc>
        <w:tc>
          <w:tcPr>
            <w:tcW w:w="1580" w:type="dxa"/>
            <w:tcBorders>
              <w:top w:val="nil"/>
              <w:left w:val="nil"/>
              <w:bottom w:val="nil"/>
              <w:right w:val="nil"/>
            </w:tcBorders>
            <w:shd w:val="clear" w:color="auto" w:fill="auto"/>
            <w:vAlign w:val="center"/>
          </w:tcPr>
          <w:p w14:paraId="1A06D418" w14:textId="77777777" w:rsidR="00C301E6" w:rsidRPr="006F02A4" w:rsidRDefault="00C301E6" w:rsidP="00480305">
            <w:pPr>
              <w:spacing w:after="0" w:line="240" w:lineRule="auto"/>
              <w:jc w:val="right"/>
              <w:rPr>
                <w:rFonts w:ascii="Arial" w:eastAsia="Times New Roman" w:hAnsi="Arial" w:cs="Arial"/>
                <w:b/>
                <w:bCs/>
                <w:lang w:eastAsia="en-GB"/>
              </w:rPr>
            </w:pPr>
          </w:p>
        </w:tc>
        <w:tc>
          <w:tcPr>
            <w:tcW w:w="1580" w:type="dxa"/>
            <w:tcBorders>
              <w:top w:val="nil"/>
              <w:left w:val="nil"/>
              <w:bottom w:val="nil"/>
              <w:right w:val="nil"/>
            </w:tcBorders>
            <w:shd w:val="clear" w:color="auto" w:fill="auto"/>
            <w:vAlign w:val="center"/>
          </w:tcPr>
          <w:p w14:paraId="13035D16" w14:textId="77777777" w:rsidR="00C301E6" w:rsidRPr="006F02A4" w:rsidRDefault="00C301E6" w:rsidP="00480305">
            <w:pPr>
              <w:spacing w:after="0" w:line="240" w:lineRule="auto"/>
              <w:jc w:val="right"/>
              <w:rPr>
                <w:rFonts w:ascii="Times New Roman" w:eastAsia="Times New Roman" w:hAnsi="Times New Roman" w:cs="Times New Roman"/>
                <w:lang w:eastAsia="en-GB"/>
              </w:rPr>
            </w:pPr>
          </w:p>
        </w:tc>
        <w:tc>
          <w:tcPr>
            <w:tcW w:w="1580" w:type="dxa"/>
            <w:tcBorders>
              <w:top w:val="nil"/>
              <w:left w:val="nil"/>
              <w:bottom w:val="nil"/>
              <w:right w:val="nil"/>
            </w:tcBorders>
            <w:shd w:val="clear" w:color="auto" w:fill="auto"/>
            <w:vAlign w:val="center"/>
          </w:tcPr>
          <w:p w14:paraId="0316C999" w14:textId="77777777" w:rsidR="00C301E6" w:rsidRPr="006F02A4" w:rsidRDefault="00C301E6" w:rsidP="00480305">
            <w:pPr>
              <w:spacing w:after="0" w:line="240" w:lineRule="auto"/>
              <w:jc w:val="right"/>
              <w:rPr>
                <w:rFonts w:ascii="Times New Roman" w:eastAsia="Times New Roman" w:hAnsi="Times New Roman" w:cs="Times New Roman"/>
                <w:lang w:eastAsia="en-GB"/>
              </w:rPr>
            </w:pPr>
          </w:p>
        </w:tc>
        <w:tc>
          <w:tcPr>
            <w:tcW w:w="1580" w:type="dxa"/>
            <w:tcBorders>
              <w:top w:val="nil"/>
              <w:left w:val="nil"/>
              <w:bottom w:val="nil"/>
              <w:right w:val="nil"/>
            </w:tcBorders>
            <w:shd w:val="clear" w:color="auto" w:fill="auto"/>
            <w:vAlign w:val="center"/>
          </w:tcPr>
          <w:p w14:paraId="1C409354" w14:textId="77777777" w:rsidR="00C301E6" w:rsidRPr="006F02A4" w:rsidRDefault="00C301E6" w:rsidP="00480305">
            <w:pPr>
              <w:spacing w:after="0" w:line="240" w:lineRule="auto"/>
              <w:jc w:val="right"/>
              <w:rPr>
                <w:rFonts w:ascii="Times New Roman" w:eastAsia="Times New Roman" w:hAnsi="Times New Roman" w:cs="Times New Roman"/>
                <w:lang w:eastAsia="en-GB"/>
              </w:rPr>
            </w:pPr>
          </w:p>
        </w:tc>
        <w:tc>
          <w:tcPr>
            <w:tcW w:w="1580" w:type="dxa"/>
            <w:tcBorders>
              <w:top w:val="nil"/>
              <w:left w:val="nil"/>
              <w:bottom w:val="nil"/>
              <w:right w:val="nil"/>
            </w:tcBorders>
            <w:shd w:val="clear" w:color="auto" w:fill="auto"/>
            <w:vAlign w:val="center"/>
          </w:tcPr>
          <w:p w14:paraId="7460BF74" w14:textId="77777777" w:rsidR="00C301E6" w:rsidRPr="006F02A4" w:rsidRDefault="00C301E6" w:rsidP="00480305">
            <w:pPr>
              <w:spacing w:after="0" w:line="240" w:lineRule="auto"/>
              <w:jc w:val="right"/>
              <w:rPr>
                <w:rFonts w:ascii="Times New Roman" w:eastAsia="Times New Roman" w:hAnsi="Times New Roman" w:cs="Times New Roman"/>
                <w:lang w:eastAsia="en-GB"/>
              </w:rPr>
            </w:pPr>
          </w:p>
        </w:tc>
        <w:tc>
          <w:tcPr>
            <w:tcW w:w="1580" w:type="dxa"/>
            <w:tcBorders>
              <w:top w:val="nil"/>
              <w:left w:val="nil"/>
              <w:bottom w:val="nil"/>
              <w:right w:val="single" w:sz="4" w:space="0" w:color="auto"/>
            </w:tcBorders>
            <w:shd w:val="clear" w:color="auto" w:fill="auto"/>
            <w:vAlign w:val="center"/>
          </w:tcPr>
          <w:p w14:paraId="3E9DAFFD"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 </w:t>
            </w:r>
          </w:p>
        </w:tc>
      </w:tr>
      <w:tr w:rsidR="00C301E6" w:rsidRPr="006F02A4" w14:paraId="4B6F68F3" w14:textId="77777777" w:rsidTr="00480305">
        <w:trPr>
          <w:trHeight w:val="450"/>
        </w:trPr>
        <w:tc>
          <w:tcPr>
            <w:tcW w:w="4680" w:type="dxa"/>
            <w:tcBorders>
              <w:top w:val="nil"/>
              <w:left w:val="single" w:sz="4" w:space="0" w:color="auto"/>
              <w:bottom w:val="nil"/>
              <w:right w:val="nil"/>
            </w:tcBorders>
            <w:shd w:val="clear" w:color="auto" w:fill="auto"/>
            <w:vAlign w:val="center"/>
            <w:hideMark/>
          </w:tcPr>
          <w:p w14:paraId="2AB053DF" w14:textId="77777777" w:rsidR="00C301E6" w:rsidRPr="006F02A4" w:rsidRDefault="00C301E6"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New endowments received</w:t>
            </w:r>
          </w:p>
        </w:tc>
        <w:tc>
          <w:tcPr>
            <w:tcW w:w="1580" w:type="dxa"/>
            <w:tcBorders>
              <w:top w:val="nil"/>
              <w:left w:val="nil"/>
              <w:bottom w:val="nil"/>
              <w:right w:val="nil"/>
            </w:tcBorders>
            <w:shd w:val="clear" w:color="auto" w:fill="auto"/>
            <w:vAlign w:val="center"/>
          </w:tcPr>
          <w:p w14:paraId="498E6050"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21</w:t>
            </w:r>
          </w:p>
        </w:tc>
        <w:tc>
          <w:tcPr>
            <w:tcW w:w="1580" w:type="dxa"/>
            <w:tcBorders>
              <w:top w:val="nil"/>
              <w:left w:val="nil"/>
              <w:bottom w:val="nil"/>
              <w:right w:val="nil"/>
            </w:tcBorders>
            <w:shd w:val="clear" w:color="auto" w:fill="auto"/>
            <w:vAlign w:val="center"/>
          </w:tcPr>
          <w:p w14:paraId="7611AFC8"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82</w:t>
            </w:r>
          </w:p>
        </w:tc>
        <w:tc>
          <w:tcPr>
            <w:tcW w:w="1580" w:type="dxa"/>
            <w:tcBorders>
              <w:top w:val="nil"/>
              <w:left w:val="nil"/>
              <w:bottom w:val="nil"/>
              <w:right w:val="nil"/>
            </w:tcBorders>
            <w:shd w:val="clear" w:color="auto" w:fill="auto"/>
            <w:vAlign w:val="center"/>
          </w:tcPr>
          <w:p w14:paraId="1F9179E1"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85</w:t>
            </w:r>
          </w:p>
        </w:tc>
        <w:tc>
          <w:tcPr>
            <w:tcW w:w="1580" w:type="dxa"/>
            <w:tcBorders>
              <w:top w:val="nil"/>
              <w:left w:val="nil"/>
              <w:bottom w:val="nil"/>
              <w:right w:val="nil"/>
            </w:tcBorders>
            <w:shd w:val="clear" w:color="auto" w:fill="auto"/>
            <w:vAlign w:val="center"/>
          </w:tcPr>
          <w:p w14:paraId="2AFD67B5"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5</w:t>
            </w:r>
          </w:p>
        </w:tc>
        <w:tc>
          <w:tcPr>
            <w:tcW w:w="1580" w:type="dxa"/>
            <w:tcBorders>
              <w:top w:val="nil"/>
              <w:left w:val="nil"/>
              <w:bottom w:val="nil"/>
              <w:right w:val="nil"/>
            </w:tcBorders>
            <w:shd w:val="clear" w:color="auto" w:fill="auto"/>
            <w:vAlign w:val="center"/>
          </w:tcPr>
          <w:p w14:paraId="568062B8"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125</w:t>
            </w:r>
          </w:p>
        </w:tc>
        <w:tc>
          <w:tcPr>
            <w:tcW w:w="1580" w:type="dxa"/>
            <w:tcBorders>
              <w:top w:val="nil"/>
              <w:left w:val="nil"/>
              <w:bottom w:val="nil"/>
              <w:right w:val="single" w:sz="4" w:space="0" w:color="auto"/>
            </w:tcBorders>
            <w:shd w:val="clear" w:color="auto" w:fill="auto"/>
            <w:vAlign w:val="center"/>
          </w:tcPr>
          <w:p w14:paraId="16581020"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318</w:t>
            </w:r>
          </w:p>
        </w:tc>
      </w:tr>
      <w:tr w:rsidR="00C301E6" w:rsidRPr="006F02A4" w14:paraId="45052407" w14:textId="77777777" w:rsidTr="00480305">
        <w:trPr>
          <w:trHeight w:val="450"/>
        </w:trPr>
        <w:tc>
          <w:tcPr>
            <w:tcW w:w="4680" w:type="dxa"/>
            <w:tcBorders>
              <w:top w:val="nil"/>
              <w:left w:val="single" w:sz="4" w:space="0" w:color="auto"/>
              <w:bottom w:val="nil"/>
              <w:right w:val="nil"/>
            </w:tcBorders>
            <w:shd w:val="clear" w:color="auto" w:fill="auto"/>
            <w:vAlign w:val="center"/>
            <w:hideMark/>
          </w:tcPr>
          <w:p w14:paraId="0C1A1D81" w14:textId="77777777" w:rsidR="00C301E6" w:rsidRPr="006F02A4" w:rsidRDefault="00C301E6"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New donations</w:t>
            </w:r>
          </w:p>
        </w:tc>
        <w:tc>
          <w:tcPr>
            <w:tcW w:w="1580" w:type="dxa"/>
            <w:tcBorders>
              <w:top w:val="nil"/>
              <w:left w:val="nil"/>
              <w:bottom w:val="nil"/>
              <w:right w:val="nil"/>
            </w:tcBorders>
            <w:shd w:val="clear" w:color="auto" w:fill="auto"/>
            <w:vAlign w:val="center"/>
          </w:tcPr>
          <w:p w14:paraId="60EA8E91"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17</w:t>
            </w:r>
          </w:p>
        </w:tc>
        <w:tc>
          <w:tcPr>
            <w:tcW w:w="1580" w:type="dxa"/>
            <w:tcBorders>
              <w:top w:val="nil"/>
              <w:left w:val="nil"/>
              <w:bottom w:val="nil"/>
              <w:right w:val="nil"/>
            </w:tcBorders>
            <w:shd w:val="clear" w:color="auto" w:fill="auto"/>
            <w:vAlign w:val="center"/>
          </w:tcPr>
          <w:p w14:paraId="216C2D11"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35</w:t>
            </w:r>
          </w:p>
        </w:tc>
        <w:tc>
          <w:tcPr>
            <w:tcW w:w="1580" w:type="dxa"/>
            <w:tcBorders>
              <w:top w:val="nil"/>
              <w:left w:val="nil"/>
              <w:bottom w:val="nil"/>
              <w:right w:val="nil"/>
            </w:tcBorders>
            <w:shd w:val="clear" w:color="auto" w:fill="auto"/>
            <w:vAlign w:val="center"/>
          </w:tcPr>
          <w:p w14:paraId="4E09973A"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81</w:t>
            </w:r>
          </w:p>
        </w:tc>
        <w:tc>
          <w:tcPr>
            <w:tcW w:w="1580" w:type="dxa"/>
            <w:tcBorders>
              <w:top w:val="nil"/>
              <w:left w:val="nil"/>
              <w:bottom w:val="nil"/>
              <w:right w:val="nil"/>
            </w:tcBorders>
            <w:shd w:val="clear" w:color="auto" w:fill="auto"/>
            <w:vAlign w:val="center"/>
          </w:tcPr>
          <w:p w14:paraId="60FB72CC"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10</w:t>
            </w:r>
          </w:p>
        </w:tc>
        <w:tc>
          <w:tcPr>
            <w:tcW w:w="1580" w:type="dxa"/>
            <w:tcBorders>
              <w:top w:val="nil"/>
              <w:left w:val="nil"/>
              <w:bottom w:val="nil"/>
              <w:right w:val="nil"/>
            </w:tcBorders>
            <w:shd w:val="clear" w:color="auto" w:fill="auto"/>
            <w:vAlign w:val="center"/>
          </w:tcPr>
          <w:p w14:paraId="296FD713"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160</w:t>
            </w:r>
          </w:p>
        </w:tc>
        <w:tc>
          <w:tcPr>
            <w:tcW w:w="1580" w:type="dxa"/>
            <w:tcBorders>
              <w:top w:val="nil"/>
              <w:left w:val="nil"/>
              <w:bottom w:val="nil"/>
              <w:right w:val="single" w:sz="4" w:space="0" w:color="auto"/>
            </w:tcBorders>
            <w:shd w:val="clear" w:color="auto" w:fill="auto"/>
            <w:vAlign w:val="center"/>
          </w:tcPr>
          <w:p w14:paraId="429ABB02"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303</w:t>
            </w:r>
          </w:p>
        </w:tc>
      </w:tr>
      <w:tr w:rsidR="00C301E6" w:rsidRPr="006F02A4" w14:paraId="1DAE7169" w14:textId="77777777" w:rsidTr="00480305">
        <w:trPr>
          <w:trHeight w:val="450"/>
        </w:trPr>
        <w:tc>
          <w:tcPr>
            <w:tcW w:w="4680" w:type="dxa"/>
            <w:tcBorders>
              <w:top w:val="nil"/>
              <w:left w:val="single" w:sz="4" w:space="0" w:color="auto"/>
              <w:bottom w:val="nil"/>
              <w:right w:val="nil"/>
            </w:tcBorders>
            <w:shd w:val="clear" w:color="auto" w:fill="auto"/>
            <w:vAlign w:val="center"/>
            <w:hideMark/>
          </w:tcPr>
          <w:p w14:paraId="7143F463" w14:textId="77777777" w:rsidR="00C301E6" w:rsidRPr="006F02A4" w:rsidRDefault="00C301E6"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New government capital grants</w:t>
            </w:r>
          </w:p>
        </w:tc>
        <w:tc>
          <w:tcPr>
            <w:tcW w:w="1580" w:type="dxa"/>
            <w:tcBorders>
              <w:top w:val="nil"/>
              <w:left w:val="nil"/>
              <w:bottom w:val="nil"/>
              <w:right w:val="nil"/>
            </w:tcBorders>
            <w:shd w:val="clear" w:color="auto" w:fill="auto"/>
            <w:vAlign w:val="center"/>
          </w:tcPr>
          <w:p w14:paraId="57035D9E"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75</w:t>
            </w:r>
          </w:p>
        </w:tc>
        <w:tc>
          <w:tcPr>
            <w:tcW w:w="1580" w:type="dxa"/>
            <w:tcBorders>
              <w:top w:val="nil"/>
              <w:left w:val="nil"/>
              <w:bottom w:val="nil"/>
              <w:right w:val="nil"/>
            </w:tcBorders>
            <w:shd w:val="clear" w:color="auto" w:fill="auto"/>
            <w:vAlign w:val="center"/>
          </w:tcPr>
          <w:p w14:paraId="372B66B8"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17</w:t>
            </w:r>
          </w:p>
        </w:tc>
        <w:tc>
          <w:tcPr>
            <w:tcW w:w="1580" w:type="dxa"/>
            <w:tcBorders>
              <w:top w:val="nil"/>
              <w:left w:val="nil"/>
              <w:bottom w:val="nil"/>
              <w:right w:val="nil"/>
            </w:tcBorders>
            <w:shd w:val="clear" w:color="auto" w:fill="auto"/>
            <w:vAlign w:val="center"/>
          </w:tcPr>
          <w:p w14:paraId="17105F09"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273</w:t>
            </w:r>
          </w:p>
        </w:tc>
        <w:tc>
          <w:tcPr>
            <w:tcW w:w="1580" w:type="dxa"/>
            <w:tcBorders>
              <w:top w:val="nil"/>
              <w:left w:val="nil"/>
              <w:bottom w:val="nil"/>
              <w:right w:val="nil"/>
            </w:tcBorders>
            <w:shd w:val="clear" w:color="auto" w:fill="auto"/>
            <w:vAlign w:val="center"/>
          </w:tcPr>
          <w:p w14:paraId="6A1AACF7"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31</w:t>
            </w:r>
          </w:p>
        </w:tc>
        <w:tc>
          <w:tcPr>
            <w:tcW w:w="1580" w:type="dxa"/>
            <w:tcBorders>
              <w:top w:val="nil"/>
              <w:left w:val="nil"/>
              <w:bottom w:val="nil"/>
              <w:right w:val="nil"/>
            </w:tcBorders>
            <w:shd w:val="clear" w:color="auto" w:fill="auto"/>
            <w:vAlign w:val="center"/>
          </w:tcPr>
          <w:p w14:paraId="1C6A71A0"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28</w:t>
            </w:r>
          </w:p>
        </w:tc>
        <w:tc>
          <w:tcPr>
            <w:tcW w:w="1580" w:type="dxa"/>
            <w:tcBorders>
              <w:top w:val="nil"/>
              <w:left w:val="nil"/>
              <w:bottom w:val="nil"/>
              <w:right w:val="single" w:sz="4" w:space="0" w:color="auto"/>
            </w:tcBorders>
            <w:shd w:val="clear" w:color="auto" w:fill="auto"/>
            <w:vAlign w:val="center"/>
          </w:tcPr>
          <w:p w14:paraId="3A95BE33"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423</w:t>
            </w:r>
          </w:p>
        </w:tc>
      </w:tr>
      <w:tr w:rsidR="00C301E6" w:rsidRPr="006F02A4" w14:paraId="4A9146F9" w14:textId="77777777" w:rsidTr="00480305">
        <w:trPr>
          <w:trHeight w:val="450"/>
        </w:trPr>
        <w:tc>
          <w:tcPr>
            <w:tcW w:w="4680" w:type="dxa"/>
            <w:tcBorders>
              <w:top w:val="nil"/>
              <w:left w:val="single" w:sz="4" w:space="0" w:color="auto"/>
              <w:bottom w:val="nil"/>
              <w:right w:val="nil"/>
            </w:tcBorders>
            <w:shd w:val="clear" w:color="auto" w:fill="auto"/>
            <w:vAlign w:val="center"/>
            <w:hideMark/>
          </w:tcPr>
          <w:p w14:paraId="48419C8A" w14:textId="77777777" w:rsidR="00C301E6" w:rsidRPr="006F02A4" w:rsidRDefault="00C301E6"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New non-government capital grants</w:t>
            </w:r>
          </w:p>
        </w:tc>
        <w:tc>
          <w:tcPr>
            <w:tcW w:w="1580" w:type="dxa"/>
            <w:tcBorders>
              <w:top w:val="nil"/>
              <w:left w:val="nil"/>
              <w:bottom w:val="nil"/>
              <w:right w:val="nil"/>
            </w:tcBorders>
            <w:shd w:val="clear" w:color="auto" w:fill="auto"/>
            <w:vAlign w:val="center"/>
          </w:tcPr>
          <w:p w14:paraId="181F3A58"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16</w:t>
            </w:r>
          </w:p>
        </w:tc>
        <w:tc>
          <w:tcPr>
            <w:tcW w:w="1580" w:type="dxa"/>
            <w:tcBorders>
              <w:top w:val="nil"/>
              <w:left w:val="nil"/>
              <w:bottom w:val="nil"/>
              <w:right w:val="nil"/>
            </w:tcBorders>
            <w:shd w:val="clear" w:color="auto" w:fill="auto"/>
            <w:vAlign w:val="center"/>
          </w:tcPr>
          <w:p w14:paraId="010DFE24"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7</w:t>
            </w:r>
          </w:p>
        </w:tc>
        <w:tc>
          <w:tcPr>
            <w:tcW w:w="1580" w:type="dxa"/>
            <w:tcBorders>
              <w:top w:val="nil"/>
              <w:left w:val="nil"/>
              <w:bottom w:val="nil"/>
              <w:right w:val="nil"/>
            </w:tcBorders>
            <w:shd w:val="clear" w:color="auto" w:fill="auto"/>
            <w:vAlign w:val="center"/>
          </w:tcPr>
          <w:p w14:paraId="10DB5916"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46</w:t>
            </w:r>
          </w:p>
        </w:tc>
        <w:tc>
          <w:tcPr>
            <w:tcW w:w="1580" w:type="dxa"/>
            <w:tcBorders>
              <w:top w:val="nil"/>
              <w:left w:val="nil"/>
              <w:bottom w:val="nil"/>
              <w:right w:val="nil"/>
            </w:tcBorders>
            <w:shd w:val="clear" w:color="auto" w:fill="auto"/>
            <w:vAlign w:val="center"/>
          </w:tcPr>
          <w:p w14:paraId="49F568B3"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17</w:t>
            </w:r>
          </w:p>
        </w:tc>
        <w:tc>
          <w:tcPr>
            <w:tcW w:w="1580" w:type="dxa"/>
            <w:tcBorders>
              <w:top w:val="nil"/>
              <w:left w:val="nil"/>
              <w:bottom w:val="nil"/>
              <w:right w:val="nil"/>
            </w:tcBorders>
            <w:shd w:val="clear" w:color="auto" w:fill="auto"/>
            <w:vAlign w:val="center"/>
          </w:tcPr>
          <w:p w14:paraId="66BE79D9"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27</w:t>
            </w:r>
          </w:p>
        </w:tc>
        <w:tc>
          <w:tcPr>
            <w:tcW w:w="1580" w:type="dxa"/>
            <w:tcBorders>
              <w:top w:val="nil"/>
              <w:left w:val="nil"/>
              <w:bottom w:val="nil"/>
              <w:right w:val="single" w:sz="4" w:space="0" w:color="auto"/>
            </w:tcBorders>
            <w:shd w:val="clear" w:color="auto" w:fill="auto"/>
            <w:vAlign w:val="center"/>
          </w:tcPr>
          <w:p w14:paraId="345561AF"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113</w:t>
            </w:r>
          </w:p>
        </w:tc>
      </w:tr>
      <w:tr w:rsidR="00C301E6" w:rsidRPr="006F02A4" w14:paraId="4CF6AB81" w14:textId="77777777" w:rsidTr="00480305">
        <w:trPr>
          <w:trHeight w:val="450"/>
        </w:trPr>
        <w:tc>
          <w:tcPr>
            <w:tcW w:w="4680" w:type="dxa"/>
            <w:tcBorders>
              <w:top w:val="nil"/>
              <w:left w:val="single" w:sz="4" w:space="0" w:color="auto"/>
              <w:bottom w:val="single" w:sz="4" w:space="0" w:color="auto"/>
              <w:right w:val="nil"/>
            </w:tcBorders>
            <w:shd w:val="clear" w:color="auto" w:fill="auto"/>
            <w:vAlign w:val="center"/>
            <w:hideMark/>
          </w:tcPr>
          <w:p w14:paraId="425C947A" w14:textId="77777777" w:rsidR="00C301E6" w:rsidRPr="006F02A4" w:rsidRDefault="00C301E6"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Other material items</w:t>
            </w:r>
          </w:p>
        </w:tc>
        <w:tc>
          <w:tcPr>
            <w:tcW w:w="1580" w:type="dxa"/>
            <w:tcBorders>
              <w:top w:val="nil"/>
              <w:left w:val="nil"/>
              <w:bottom w:val="single" w:sz="4" w:space="0" w:color="auto"/>
              <w:right w:val="nil"/>
            </w:tcBorders>
            <w:shd w:val="clear" w:color="auto" w:fill="auto"/>
            <w:vAlign w:val="center"/>
          </w:tcPr>
          <w:p w14:paraId="74B8D3E0"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4</w:t>
            </w:r>
          </w:p>
        </w:tc>
        <w:tc>
          <w:tcPr>
            <w:tcW w:w="1580" w:type="dxa"/>
            <w:tcBorders>
              <w:top w:val="nil"/>
              <w:left w:val="nil"/>
              <w:bottom w:val="single" w:sz="4" w:space="0" w:color="auto"/>
              <w:right w:val="nil"/>
            </w:tcBorders>
            <w:shd w:val="clear" w:color="auto" w:fill="auto"/>
            <w:vAlign w:val="center"/>
          </w:tcPr>
          <w:p w14:paraId="71A5241F"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(2)</w:t>
            </w:r>
          </w:p>
        </w:tc>
        <w:tc>
          <w:tcPr>
            <w:tcW w:w="1580" w:type="dxa"/>
            <w:tcBorders>
              <w:top w:val="nil"/>
              <w:left w:val="nil"/>
              <w:bottom w:val="single" w:sz="4" w:space="0" w:color="auto"/>
              <w:right w:val="nil"/>
            </w:tcBorders>
            <w:shd w:val="clear" w:color="auto" w:fill="auto"/>
            <w:vAlign w:val="center"/>
          </w:tcPr>
          <w:p w14:paraId="67679AE4"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2</w:t>
            </w:r>
          </w:p>
        </w:tc>
        <w:tc>
          <w:tcPr>
            <w:tcW w:w="1580" w:type="dxa"/>
            <w:tcBorders>
              <w:top w:val="nil"/>
              <w:left w:val="nil"/>
              <w:bottom w:val="single" w:sz="4" w:space="0" w:color="auto"/>
              <w:right w:val="nil"/>
            </w:tcBorders>
            <w:shd w:val="clear" w:color="auto" w:fill="auto"/>
            <w:vAlign w:val="center"/>
          </w:tcPr>
          <w:p w14:paraId="0CAE10BF"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6</w:t>
            </w:r>
          </w:p>
        </w:tc>
        <w:tc>
          <w:tcPr>
            <w:tcW w:w="1580" w:type="dxa"/>
            <w:tcBorders>
              <w:top w:val="nil"/>
              <w:left w:val="nil"/>
              <w:bottom w:val="single" w:sz="4" w:space="0" w:color="auto"/>
              <w:right w:val="nil"/>
            </w:tcBorders>
            <w:shd w:val="clear" w:color="auto" w:fill="auto"/>
            <w:vAlign w:val="center"/>
          </w:tcPr>
          <w:p w14:paraId="0CC522CA"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19</w:t>
            </w:r>
          </w:p>
        </w:tc>
        <w:tc>
          <w:tcPr>
            <w:tcW w:w="1580" w:type="dxa"/>
            <w:tcBorders>
              <w:top w:val="nil"/>
              <w:left w:val="nil"/>
              <w:bottom w:val="single" w:sz="4" w:space="0" w:color="auto"/>
              <w:right w:val="single" w:sz="4" w:space="0" w:color="auto"/>
            </w:tcBorders>
            <w:shd w:val="clear" w:color="auto" w:fill="auto"/>
            <w:vAlign w:val="center"/>
          </w:tcPr>
          <w:p w14:paraId="01D46A17"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29</w:t>
            </w:r>
          </w:p>
        </w:tc>
      </w:tr>
      <w:tr w:rsidR="00C301E6" w:rsidRPr="006F02A4" w14:paraId="5DC9C518" w14:textId="77777777" w:rsidTr="00480305">
        <w:trPr>
          <w:trHeight w:val="450"/>
        </w:trPr>
        <w:tc>
          <w:tcPr>
            <w:tcW w:w="4680" w:type="dxa"/>
            <w:tcBorders>
              <w:top w:val="nil"/>
              <w:left w:val="single" w:sz="4" w:space="0" w:color="auto"/>
              <w:bottom w:val="single" w:sz="4" w:space="0" w:color="auto"/>
              <w:right w:val="nil"/>
            </w:tcBorders>
            <w:shd w:val="clear" w:color="auto" w:fill="auto"/>
            <w:vAlign w:val="center"/>
            <w:hideMark/>
          </w:tcPr>
          <w:p w14:paraId="2E1E41B8" w14:textId="77777777" w:rsidR="00C301E6" w:rsidRPr="006F02A4" w:rsidRDefault="00C301E6"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Total income items</w:t>
            </w:r>
          </w:p>
        </w:tc>
        <w:tc>
          <w:tcPr>
            <w:tcW w:w="1580" w:type="dxa"/>
            <w:tcBorders>
              <w:top w:val="nil"/>
              <w:left w:val="nil"/>
              <w:bottom w:val="single" w:sz="4" w:space="0" w:color="auto"/>
              <w:right w:val="nil"/>
            </w:tcBorders>
            <w:shd w:val="clear" w:color="auto" w:fill="auto"/>
            <w:vAlign w:val="center"/>
          </w:tcPr>
          <w:p w14:paraId="59CBEFC2"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133</w:t>
            </w:r>
          </w:p>
        </w:tc>
        <w:tc>
          <w:tcPr>
            <w:tcW w:w="1580" w:type="dxa"/>
            <w:tcBorders>
              <w:top w:val="nil"/>
              <w:left w:val="nil"/>
              <w:bottom w:val="single" w:sz="4" w:space="0" w:color="auto"/>
              <w:right w:val="nil"/>
            </w:tcBorders>
            <w:shd w:val="clear" w:color="auto" w:fill="auto"/>
            <w:vAlign w:val="center"/>
          </w:tcPr>
          <w:p w14:paraId="7FB9BCFD"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138</w:t>
            </w:r>
          </w:p>
        </w:tc>
        <w:tc>
          <w:tcPr>
            <w:tcW w:w="1580" w:type="dxa"/>
            <w:tcBorders>
              <w:top w:val="nil"/>
              <w:left w:val="nil"/>
              <w:bottom w:val="single" w:sz="4" w:space="0" w:color="auto"/>
              <w:right w:val="nil"/>
            </w:tcBorders>
            <w:shd w:val="clear" w:color="auto" w:fill="auto"/>
            <w:vAlign w:val="center"/>
          </w:tcPr>
          <w:p w14:paraId="13943C1C"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486</w:t>
            </w:r>
          </w:p>
        </w:tc>
        <w:tc>
          <w:tcPr>
            <w:tcW w:w="1580" w:type="dxa"/>
            <w:tcBorders>
              <w:top w:val="nil"/>
              <w:left w:val="nil"/>
              <w:bottom w:val="single" w:sz="4" w:space="0" w:color="auto"/>
              <w:right w:val="nil"/>
            </w:tcBorders>
            <w:shd w:val="clear" w:color="auto" w:fill="auto"/>
            <w:vAlign w:val="center"/>
          </w:tcPr>
          <w:p w14:paraId="38D2BDF0"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69</w:t>
            </w:r>
          </w:p>
        </w:tc>
        <w:tc>
          <w:tcPr>
            <w:tcW w:w="1580" w:type="dxa"/>
            <w:tcBorders>
              <w:top w:val="nil"/>
              <w:left w:val="nil"/>
              <w:bottom w:val="single" w:sz="4" w:space="0" w:color="auto"/>
              <w:right w:val="nil"/>
            </w:tcBorders>
            <w:shd w:val="clear" w:color="auto" w:fill="auto"/>
            <w:vAlign w:val="center"/>
          </w:tcPr>
          <w:p w14:paraId="07CD69C5"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359</w:t>
            </w:r>
          </w:p>
        </w:tc>
        <w:tc>
          <w:tcPr>
            <w:tcW w:w="1580" w:type="dxa"/>
            <w:tcBorders>
              <w:top w:val="nil"/>
              <w:left w:val="nil"/>
              <w:bottom w:val="single" w:sz="4" w:space="0" w:color="auto"/>
              <w:right w:val="single" w:sz="4" w:space="0" w:color="auto"/>
            </w:tcBorders>
            <w:shd w:val="clear" w:color="auto" w:fill="auto"/>
            <w:vAlign w:val="center"/>
          </w:tcPr>
          <w:p w14:paraId="6E5F6C47"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1,185</w:t>
            </w:r>
          </w:p>
        </w:tc>
      </w:tr>
      <w:tr w:rsidR="00C301E6" w:rsidRPr="006F02A4" w14:paraId="5C0161BE" w14:textId="77777777" w:rsidTr="00480305">
        <w:trPr>
          <w:trHeight w:val="450"/>
        </w:trPr>
        <w:tc>
          <w:tcPr>
            <w:tcW w:w="4680" w:type="dxa"/>
            <w:tcBorders>
              <w:top w:val="nil"/>
              <w:left w:val="single" w:sz="4" w:space="0" w:color="auto"/>
              <w:bottom w:val="single" w:sz="4" w:space="0" w:color="auto"/>
              <w:right w:val="nil"/>
            </w:tcBorders>
            <w:shd w:val="clear" w:color="auto" w:fill="auto"/>
            <w:vAlign w:val="center"/>
            <w:hideMark/>
          </w:tcPr>
          <w:p w14:paraId="209B19BD" w14:textId="77777777" w:rsidR="00C301E6" w:rsidRPr="006F02A4" w:rsidRDefault="00C301E6"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Total as % of income</w:t>
            </w:r>
          </w:p>
        </w:tc>
        <w:tc>
          <w:tcPr>
            <w:tcW w:w="1580" w:type="dxa"/>
            <w:tcBorders>
              <w:top w:val="nil"/>
              <w:left w:val="nil"/>
              <w:bottom w:val="single" w:sz="4" w:space="0" w:color="auto"/>
              <w:right w:val="nil"/>
            </w:tcBorders>
            <w:shd w:val="clear" w:color="auto" w:fill="auto"/>
            <w:vAlign w:val="center"/>
          </w:tcPr>
          <w:p w14:paraId="79373056"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0.8%</w:t>
            </w:r>
          </w:p>
        </w:tc>
        <w:tc>
          <w:tcPr>
            <w:tcW w:w="1580" w:type="dxa"/>
            <w:tcBorders>
              <w:top w:val="nil"/>
              <w:left w:val="nil"/>
              <w:bottom w:val="single" w:sz="4" w:space="0" w:color="auto"/>
              <w:right w:val="nil"/>
            </w:tcBorders>
            <w:shd w:val="clear" w:color="auto" w:fill="auto"/>
            <w:vAlign w:val="center"/>
          </w:tcPr>
          <w:p w14:paraId="55465AC9"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1.9%</w:t>
            </w:r>
          </w:p>
        </w:tc>
        <w:tc>
          <w:tcPr>
            <w:tcW w:w="1580" w:type="dxa"/>
            <w:tcBorders>
              <w:top w:val="nil"/>
              <w:left w:val="nil"/>
              <w:bottom w:val="single" w:sz="4" w:space="0" w:color="auto"/>
              <w:right w:val="nil"/>
            </w:tcBorders>
            <w:shd w:val="clear" w:color="auto" w:fill="auto"/>
            <w:vAlign w:val="center"/>
          </w:tcPr>
          <w:p w14:paraId="0715C17E"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4.6%</w:t>
            </w:r>
          </w:p>
        </w:tc>
        <w:tc>
          <w:tcPr>
            <w:tcW w:w="1580" w:type="dxa"/>
            <w:tcBorders>
              <w:top w:val="nil"/>
              <w:left w:val="nil"/>
              <w:bottom w:val="single" w:sz="4" w:space="0" w:color="auto"/>
              <w:right w:val="nil"/>
            </w:tcBorders>
            <w:shd w:val="clear" w:color="auto" w:fill="auto"/>
            <w:vAlign w:val="center"/>
          </w:tcPr>
          <w:p w14:paraId="68ACA489"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1.1%</w:t>
            </w:r>
          </w:p>
        </w:tc>
        <w:tc>
          <w:tcPr>
            <w:tcW w:w="1580" w:type="dxa"/>
            <w:tcBorders>
              <w:top w:val="nil"/>
              <w:left w:val="nil"/>
              <w:bottom w:val="single" w:sz="4" w:space="0" w:color="auto"/>
              <w:right w:val="nil"/>
            </w:tcBorders>
            <w:shd w:val="clear" w:color="auto" w:fill="auto"/>
            <w:vAlign w:val="center"/>
          </w:tcPr>
          <w:p w14:paraId="42310A97"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29.3%</w:t>
            </w:r>
          </w:p>
        </w:tc>
        <w:tc>
          <w:tcPr>
            <w:tcW w:w="1580" w:type="dxa"/>
            <w:tcBorders>
              <w:top w:val="nil"/>
              <w:left w:val="nil"/>
              <w:bottom w:val="single" w:sz="4" w:space="0" w:color="auto"/>
              <w:right w:val="single" w:sz="4" w:space="0" w:color="auto"/>
            </w:tcBorders>
            <w:shd w:val="clear" w:color="auto" w:fill="auto"/>
            <w:vAlign w:val="center"/>
          </w:tcPr>
          <w:p w14:paraId="6E700F21"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2.9%</w:t>
            </w:r>
          </w:p>
        </w:tc>
      </w:tr>
      <w:tr w:rsidR="00C301E6" w:rsidRPr="006F02A4" w14:paraId="6DFA8C5A" w14:textId="77777777" w:rsidTr="00480305">
        <w:trPr>
          <w:trHeight w:val="450"/>
        </w:trPr>
        <w:tc>
          <w:tcPr>
            <w:tcW w:w="4680" w:type="dxa"/>
            <w:tcBorders>
              <w:top w:val="nil"/>
              <w:left w:val="single" w:sz="4" w:space="0" w:color="auto"/>
              <w:bottom w:val="single" w:sz="4" w:space="0" w:color="auto"/>
              <w:right w:val="nil"/>
            </w:tcBorders>
            <w:shd w:val="clear" w:color="auto" w:fill="auto"/>
            <w:vAlign w:val="center"/>
            <w:hideMark/>
          </w:tcPr>
          <w:p w14:paraId="3C0FA07F" w14:textId="4D5637DE" w:rsidR="00C301E6" w:rsidRPr="006F02A4" w:rsidRDefault="00C301E6"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 xml:space="preserve">Total as % </w:t>
            </w:r>
            <w:r w:rsidR="00D22D87" w:rsidRPr="006F02A4">
              <w:rPr>
                <w:rFonts w:ascii="Arial" w:eastAsia="Times New Roman" w:hAnsi="Arial" w:cs="Arial"/>
                <w:lang w:eastAsia="en-GB"/>
              </w:rPr>
              <w:t xml:space="preserve">of </w:t>
            </w:r>
            <w:r w:rsidRPr="006F02A4">
              <w:rPr>
                <w:rFonts w:ascii="Arial" w:eastAsia="Times New Roman" w:hAnsi="Arial" w:cs="Arial"/>
                <w:lang w:eastAsia="en-GB"/>
              </w:rPr>
              <w:t>income (2018-19)</w:t>
            </w:r>
          </w:p>
        </w:tc>
        <w:tc>
          <w:tcPr>
            <w:tcW w:w="1580" w:type="dxa"/>
            <w:tcBorders>
              <w:top w:val="nil"/>
              <w:left w:val="nil"/>
              <w:bottom w:val="single" w:sz="4" w:space="0" w:color="auto"/>
              <w:right w:val="nil"/>
            </w:tcBorders>
            <w:shd w:val="clear" w:color="auto" w:fill="auto"/>
            <w:vAlign w:val="center"/>
          </w:tcPr>
          <w:p w14:paraId="3E8D063F"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1.0%</w:t>
            </w:r>
          </w:p>
        </w:tc>
        <w:tc>
          <w:tcPr>
            <w:tcW w:w="1580" w:type="dxa"/>
            <w:tcBorders>
              <w:top w:val="nil"/>
              <w:left w:val="nil"/>
              <w:bottom w:val="single" w:sz="4" w:space="0" w:color="auto"/>
              <w:right w:val="nil"/>
            </w:tcBorders>
            <w:shd w:val="clear" w:color="auto" w:fill="auto"/>
            <w:vAlign w:val="center"/>
          </w:tcPr>
          <w:p w14:paraId="43357E1F"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1.9%</w:t>
            </w:r>
          </w:p>
        </w:tc>
        <w:tc>
          <w:tcPr>
            <w:tcW w:w="1580" w:type="dxa"/>
            <w:tcBorders>
              <w:top w:val="nil"/>
              <w:left w:val="nil"/>
              <w:bottom w:val="single" w:sz="4" w:space="0" w:color="auto"/>
              <w:right w:val="nil"/>
            </w:tcBorders>
            <w:shd w:val="clear" w:color="auto" w:fill="auto"/>
            <w:vAlign w:val="center"/>
          </w:tcPr>
          <w:p w14:paraId="76343FED"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6.5%</w:t>
            </w:r>
          </w:p>
        </w:tc>
        <w:tc>
          <w:tcPr>
            <w:tcW w:w="1580" w:type="dxa"/>
            <w:tcBorders>
              <w:top w:val="nil"/>
              <w:left w:val="nil"/>
              <w:bottom w:val="single" w:sz="4" w:space="0" w:color="auto"/>
              <w:right w:val="nil"/>
            </w:tcBorders>
            <w:shd w:val="clear" w:color="auto" w:fill="auto"/>
            <w:vAlign w:val="center"/>
          </w:tcPr>
          <w:p w14:paraId="4D85710A"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1.0%</w:t>
            </w:r>
          </w:p>
        </w:tc>
        <w:tc>
          <w:tcPr>
            <w:tcW w:w="1580" w:type="dxa"/>
            <w:tcBorders>
              <w:top w:val="nil"/>
              <w:left w:val="nil"/>
              <w:bottom w:val="single" w:sz="4" w:space="0" w:color="auto"/>
              <w:right w:val="nil"/>
            </w:tcBorders>
            <w:shd w:val="clear" w:color="auto" w:fill="auto"/>
            <w:vAlign w:val="center"/>
          </w:tcPr>
          <w:p w14:paraId="134E75E9"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16.1%</w:t>
            </w:r>
          </w:p>
        </w:tc>
        <w:tc>
          <w:tcPr>
            <w:tcW w:w="1580" w:type="dxa"/>
            <w:tcBorders>
              <w:top w:val="nil"/>
              <w:left w:val="nil"/>
              <w:bottom w:val="single" w:sz="4" w:space="0" w:color="auto"/>
              <w:right w:val="single" w:sz="4" w:space="0" w:color="auto"/>
            </w:tcBorders>
            <w:shd w:val="clear" w:color="auto" w:fill="auto"/>
            <w:vAlign w:val="center"/>
          </w:tcPr>
          <w:p w14:paraId="440E26FD" w14:textId="77777777" w:rsidR="00C301E6" w:rsidRPr="006F02A4" w:rsidRDefault="00C301E6" w:rsidP="00480305">
            <w:pPr>
              <w:spacing w:after="0" w:line="240" w:lineRule="auto"/>
              <w:jc w:val="right"/>
              <w:rPr>
                <w:rFonts w:ascii="Arial" w:eastAsia="Times New Roman" w:hAnsi="Arial" w:cs="Arial"/>
                <w:lang w:eastAsia="en-GB"/>
              </w:rPr>
            </w:pPr>
            <w:r w:rsidRPr="006F02A4">
              <w:rPr>
                <w:rFonts w:ascii="Arial" w:hAnsi="Arial" w:cs="Arial"/>
                <w:color w:val="000000"/>
              </w:rPr>
              <w:t>3.1%</w:t>
            </w:r>
          </w:p>
        </w:tc>
      </w:tr>
    </w:tbl>
    <w:p w14:paraId="253C9F5D" w14:textId="77777777" w:rsidR="00A21CEB" w:rsidRPr="006F02A4" w:rsidRDefault="00A21CEB" w:rsidP="00F820EE">
      <w:pPr>
        <w:sectPr w:rsidR="00A21CEB" w:rsidRPr="006F02A4" w:rsidSect="002B029B">
          <w:pgSz w:w="16838" w:h="11906" w:orient="landscape" w:code="9"/>
          <w:pgMar w:top="1134" w:right="1134" w:bottom="1134" w:left="1134" w:header="454" w:footer="454" w:gutter="0"/>
          <w:cols w:space="708"/>
          <w:titlePg/>
          <w:docGrid w:linePitch="360"/>
        </w:sectPr>
      </w:pPr>
    </w:p>
    <w:p w14:paraId="1FADB043" w14:textId="77777777" w:rsidR="0031551A" w:rsidRPr="006F02A4" w:rsidRDefault="0031551A" w:rsidP="001D5691">
      <w:pPr>
        <w:pStyle w:val="Heading3"/>
      </w:pPr>
      <w:bookmarkStart w:id="15" w:name="_Toc42783356"/>
      <w:bookmarkStart w:id="16" w:name="_Toc77951457"/>
      <w:bookmarkStart w:id="17" w:name="_Toc78299735"/>
      <w:r w:rsidRPr="006F02A4">
        <w:lastRenderedPageBreak/>
        <w:t>Figure 2: TRAC full economic cost surplus/deficit by activity, 2019-20 (UK higher education institutions)</w:t>
      </w:r>
      <w:bookmarkEnd w:id="15"/>
      <w:bookmarkEnd w:id="16"/>
      <w:bookmarkEnd w:id="17"/>
      <w:r w:rsidRPr="006F02A4">
        <w:rPr>
          <w:noProof/>
          <w:lang w:eastAsia="en-GB"/>
        </w:rPr>
        <w:t xml:space="preserve"> </w:t>
      </w:r>
    </w:p>
    <w:p w14:paraId="40B72F77" w14:textId="49FEFC23" w:rsidR="0031551A" w:rsidRPr="006F02A4" w:rsidRDefault="003B6AFF" w:rsidP="0031551A">
      <w:pPr>
        <w:pStyle w:val="BodyText"/>
      </w:pPr>
      <w:r>
        <w:rPr>
          <w:noProof/>
        </w:rPr>
        <w:drawing>
          <wp:inline distT="0" distB="0" distL="0" distR="0" wp14:anchorId="37433604" wp14:editId="6BBD9A6C">
            <wp:extent cx="5742940" cy="8010525"/>
            <wp:effectExtent l="0" t="0" r="0" b="9525"/>
            <wp:docPr id="4" name="Picture 4" descr="Bar chart showing TRAC full economic cost for activities in millions of pounds: publicly funded teaching is minus 696; non publicly funded teaching is 2,326; research is minus 4,575; other income-generating activity is minus 798; other non-commercial activity is 570. The total is minus 3,172. This chart highlights the scale of surplus generated on non-publicly funded teaching; the substantial deficit on research activity; and the significant deficit for all activities in tot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r chart showing TRAC full economic cost for activities in millions of pounds: publicly funded teaching is minus 696; non publicly funded teaching is 2,326; research is minus 4,575; other income-generating activity is minus 798; other non-commercial activity is 570. The total is minus 3,172. This chart highlights the scale of surplus generated on non-publicly funded teaching; the substantial deficit on research activity; and the significant deficit for all activities in total.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42940" cy="8010525"/>
                    </a:xfrm>
                    <a:prstGeom prst="rect">
                      <a:avLst/>
                    </a:prstGeom>
                    <a:noFill/>
                  </pic:spPr>
                </pic:pic>
              </a:graphicData>
            </a:graphic>
          </wp:inline>
        </w:drawing>
      </w:r>
    </w:p>
    <w:p w14:paraId="59FFEDA8" w14:textId="77777777" w:rsidR="00F333AF" w:rsidRPr="006F02A4" w:rsidRDefault="00F333AF">
      <w:pPr>
        <w:rPr>
          <w:b/>
          <w:color w:val="002554" w:themeColor="text2"/>
          <w:sz w:val="24"/>
          <w:szCs w:val="24"/>
        </w:rPr>
      </w:pPr>
      <w:bookmarkStart w:id="18" w:name="_Toc42783357"/>
      <w:r w:rsidRPr="006F02A4">
        <w:br w:type="page"/>
      </w:r>
    </w:p>
    <w:p w14:paraId="36754B1F" w14:textId="039DDBA5" w:rsidR="00DA30B0" w:rsidRPr="006F02A4" w:rsidRDefault="00DA30B0" w:rsidP="00DA30B0">
      <w:pPr>
        <w:pStyle w:val="Heading3"/>
        <w:keepLines/>
      </w:pPr>
      <w:bookmarkStart w:id="19" w:name="_Toc78299736"/>
      <w:r w:rsidRPr="006F02A4">
        <w:lastRenderedPageBreak/>
        <w:t xml:space="preserve">Definitions for Table </w:t>
      </w:r>
      <w:r w:rsidR="00090A16" w:rsidRPr="006F02A4">
        <w:t>4</w:t>
      </w:r>
      <w:r w:rsidRPr="006F02A4">
        <w:t xml:space="preserve"> and Figure 2</w:t>
      </w:r>
      <w:bookmarkEnd w:id="18"/>
      <w:bookmarkEnd w:id="19"/>
    </w:p>
    <w:p w14:paraId="4CCFC49E" w14:textId="77777777" w:rsidR="00DA30B0" w:rsidRPr="006F02A4" w:rsidRDefault="00DA30B0" w:rsidP="00DA30B0">
      <w:pPr>
        <w:keepNext/>
        <w:keepLines/>
        <w:spacing w:after="240" w:line="300" w:lineRule="atLeast"/>
      </w:pPr>
      <w:r w:rsidRPr="006F02A4">
        <w:rPr>
          <w:b/>
        </w:rPr>
        <w:t>Publicly funded teaching:</w:t>
      </w:r>
      <w:r w:rsidRPr="006F02A4">
        <w:t xml:space="preserve"> Teaching of higher and further education courses to home and EU students who were fundable by the </w:t>
      </w:r>
      <w:proofErr w:type="spellStart"/>
      <w:r w:rsidRPr="006F02A4">
        <w:t>OfS</w:t>
      </w:r>
      <w:proofErr w:type="spellEnd"/>
      <w:r w:rsidRPr="006F02A4">
        <w:t xml:space="preserve">, Scottish Funding Council, Higher Education Funding Council for </w:t>
      </w:r>
      <w:proofErr w:type="gramStart"/>
      <w:r w:rsidRPr="006F02A4">
        <w:t>Wales</w:t>
      </w:r>
      <w:proofErr w:type="gramEnd"/>
      <w:r w:rsidRPr="006F02A4">
        <w:t xml:space="preserve"> or the Department for the Economy (Northern Ireland) or by the NHS, National College of Teaching and Leadership, or Education and Skills Funding Agency. Income includes student fees paid via the Student Loans Company.</w:t>
      </w:r>
    </w:p>
    <w:p w14:paraId="59B6D1DD" w14:textId="77777777" w:rsidR="00DA30B0" w:rsidRPr="006F02A4" w:rsidRDefault="00DA30B0" w:rsidP="00DA30B0">
      <w:pPr>
        <w:keepNext/>
        <w:keepLines/>
        <w:spacing w:after="240" w:line="300" w:lineRule="atLeast"/>
      </w:pPr>
      <w:r w:rsidRPr="006F02A4">
        <w:rPr>
          <w:b/>
        </w:rPr>
        <w:t>Non-publicly funded teaching:</w:t>
      </w:r>
      <w:r w:rsidRPr="006F02A4">
        <w:t xml:space="preserve"> Teaching of students from outside the UK and EU; self-funded home and EU students and other commissioned courses (such as employer-specific ‘closed’ courses).</w:t>
      </w:r>
    </w:p>
    <w:p w14:paraId="559DFDC6" w14:textId="77777777" w:rsidR="00DA30B0" w:rsidRPr="006F02A4" w:rsidRDefault="00DA30B0" w:rsidP="00DA30B0">
      <w:pPr>
        <w:keepNext/>
        <w:keepLines/>
        <w:spacing w:after="240" w:line="300" w:lineRule="atLeast"/>
      </w:pPr>
      <w:r w:rsidRPr="006F02A4">
        <w:rPr>
          <w:b/>
        </w:rPr>
        <w:t>Research:</w:t>
      </w:r>
      <w:r w:rsidRPr="006F02A4">
        <w:t xml:space="preserve"> All research activity (but not scholarship or staff development) commissioned and funded by external sponsors, or the institution’s own-funded research activity. Public sponsors of research include UK research councils and other government departments. Other sponsors include UK charities, the EU, overseas governments, overseas </w:t>
      </w:r>
      <w:proofErr w:type="gramStart"/>
      <w:r w:rsidRPr="006F02A4">
        <w:t>charities</w:t>
      </w:r>
      <w:proofErr w:type="gramEnd"/>
      <w:r w:rsidRPr="006F02A4">
        <w:t xml:space="preserve"> and research carried out for commercial or industrial sponsors.</w:t>
      </w:r>
    </w:p>
    <w:p w14:paraId="291D83C0" w14:textId="77777777" w:rsidR="00DA30B0" w:rsidRPr="006F02A4" w:rsidRDefault="00DA30B0" w:rsidP="00DA30B0">
      <w:pPr>
        <w:keepNext/>
        <w:keepLines/>
        <w:spacing w:after="240" w:line="300" w:lineRule="atLeast"/>
      </w:pPr>
      <w:r w:rsidRPr="006F02A4">
        <w:rPr>
          <w:b/>
        </w:rPr>
        <w:t>Other (income-generating):</w:t>
      </w:r>
      <w:r w:rsidRPr="006F02A4">
        <w:t xml:space="preserve"> Includes commercial activities such as catering and conferences, commercially let facilities and residences; activities carried out through subsidiary companies such as publishing or commercial consultancy; knowledge transfer activity; and, for institutions with medical and dental schools, services provided to the NHS. </w:t>
      </w:r>
    </w:p>
    <w:p w14:paraId="66D16453" w14:textId="77FCA4F2" w:rsidR="00A21CEB" w:rsidRPr="006F02A4" w:rsidRDefault="00DA30B0" w:rsidP="00DA30B0">
      <w:r w:rsidRPr="006F02A4">
        <w:rPr>
          <w:b/>
        </w:rPr>
        <w:t>Other (non-commercial):</w:t>
      </w:r>
      <w:r w:rsidRPr="006F02A4">
        <w:t xml:space="preserve"> Non-commercial activity such as investment and donations or endowments.</w:t>
      </w:r>
    </w:p>
    <w:p w14:paraId="7125F7DB" w14:textId="77777777" w:rsidR="00DA30B0" w:rsidRPr="006F02A4" w:rsidRDefault="00DA30B0" w:rsidP="00DA30B0">
      <w:pPr>
        <w:sectPr w:rsidR="00DA30B0" w:rsidRPr="006F02A4" w:rsidSect="002B029B">
          <w:pgSz w:w="11906" w:h="16838" w:code="9"/>
          <w:pgMar w:top="1134" w:right="1134" w:bottom="1134" w:left="1134" w:header="454" w:footer="454" w:gutter="0"/>
          <w:cols w:space="708"/>
          <w:titlePg/>
          <w:docGrid w:linePitch="360"/>
        </w:sectPr>
      </w:pPr>
    </w:p>
    <w:p w14:paraId="27CF4C2E" w14:textId="700222EF" w:rsidR="00FC532F" w:rsidRPr="006F02A4" w:rsidRDefault="00FC532F" w:rsidP="001D5691">
      <w:pPr>
        <w:pStyle w:val="Heading3"/>
      </w:pPr>
      <w:bookmarkStart w:id="20" w:name="_Toc78299737"/>
      <w:r w:rsidRPr="006F02A4">
        <w:lastRenderedPageBreak/>
        <w:t xml:space="preserve">Table </w:t>
      </w:r>
      <w:r w:rsidR="00883D4F" w:rsidRPr="006F02A4">
        <w:t>5</w:t>
      </w:r>
      <w:r w:rsidRPr="006F02A4">
        <w:t>: Research income and costs by sponsor type</w:t>
      </w:r>
      <w:r w:rsidR="00D22D87" w:rsidRPr="006F02A4">
        <w:t>,</w:t>
      </w:r>
      <w:r w:rsidRPr="006F02A4">
        <w:t xml:space="preserve"> 2019-20 (UK </w:t>
      </w:r>
      <w:r w:rsidR="00D039D8">
        <w:t>higher education institutions</w:t>
      </w:r>
      <w:r w:rsidRPr="006F02A4">
        <w:t>) (figures in £M)</w:t>
      </w:r>
      <w:bookmarkEnd w:id="20"/>
      <w:r w:rsidRPr="006F02A4">
        <w:t> </w:t>
      </w:r>
    </w:p>
    <w:tbl>
      <w:tblPr>
        <w:tblW w:w="14836" w:type="dxa"/>
        <w:tblLook w:val="04A0" w:firstRow="1" w:lastRow="0" w:firstColumn="1" w:lastColumn="0" w:noHBand="0" w:noVBand="1"/>
      </w:tblPr>
      <w:tblGrid>
        <w:gridCol w:w="3152"/>
        <w:gridCol w:w="1277"/>
        <w:gridCol w:w="1301"/>
        <w:gridCol w:w="1637"/>
        <w:gridCol w:w="1289"/>
        <w:gridCol w:w="1563"/>
        <w:gridCol w:w="987"/>
        <w:gridCol w:w="1140"/>
        <w:gridCol w:w="1102"/>
        <w:gridCol w:w="1388"/>
      </w:tblGrid>
      <w:tr w:rsidR="006A2190" w:rsidRPr="006F02A4" w14:paraId="7B67E56D" w14:textId="77777777" w:rsidTr="00E33E0E">
        <w:trPr>
          <w:trHeight w:val="1563"/>
        </w:trPr>
        <w:tc>
          <w:tcPr>
            <w:tcW w:w="3152" w:type="dxa"/>
            <w:tcBorders>
              <w:top w:val="single" w:sz="4" w:space="0" w:color="auto"/>
              <w:left w:val="single" w:sz="4" w:space="0" w:color="auto"/>
              <w:bottom w:val="single" w:sz="4" w:space="0" w:color="auto"/>
              <w:right w:val="nil"/>
            </w:tcBorders>
            <w:shd w:val="clear" w:color="000000" w:fill="002554"/>
            <w:vAlign w:val="center"/>
            <w:hideMark/>
          </w:tcPr>
          <w:p w14:paraId="652EF43E" w14:textId="77777777" w:rsidR="006A2190" w:rsidRPr="006F02A4" w:rsidRDefault="006A2190" w:rsidP="00E33E0E">
            <w:pPr>
              <w:spacing w:after="0" w:line="240" w:lineRule="auto"/>
              <w:jc w:val="center"/>
              <w:rPr>
                <w:rFonts w:ascii="Arial" w:eastAsia="Times New Roman" w:hAnsi="Arial" w:cs="Arial"/>
                <w:b/>
                <w:bCs/>
                <w:lang w:eastAsia="en-GB"/>
              </w:rPr>
            </w:pPr>
            <w:r w:rsidRPr="006F02A4">
              <w:rPr>
                <w:rFonts w:ascii="Arial" w:eastAsia="Times New Roman" w:hAnsi="Arial" w:cs="Arial"/>
                <w:b/>
                <w:bCs/>
                <w:lang w:eastAsia="en-GB"/>
              </w:rPr>
              <w:t> </w:t>
            </w:r>
          </w:p>
        </w:tc>
        <w:tc>
          <w:tcPr>
            <w:tcW w:w="1277" w:type="dxa"/>
            <w:tcBorders>
              <w:top w:val="single" w:sz="4" w:space="0" w:color="auto"/>
              <w:left w:val="nil"/>
              <w:bottom w:val="nil"/>
              <w:right w:val="nil"/>
            </w:tcBorders>
            <w:shd w:val="clear" w:color="000000" w:fill="002554"/>
            <w:vAlign w:val="center"/>
            <w:hideMark/>
          </w:tcPr>
          <w:p w14:paraId="555CEB34" w14:textId="77777777" w:rsidR="006A2190" w:rsidRPr="006F02A4" w:rsidRDefault="006A2190" w:rsidP="00E33E0E">
            <w:pPr>
              <w:spacing w:after="0" w:line="240" w:lineRule="auto"/>
              <w:jc w:val="right"/>
              <w:rPr>
                <w:rFonts w:ascii="Arial" w:eastAsia="Times New Roman" w:hAnsi="Arial" w:cs="Arial"/>
                <w:b/>
                <w:bCs/>
                <w:color w:val="FFFFFF"/>
                <w:lang w:eastAsia="en-GB"/>
              </w:rPr>
            </w:pPr>
            <w:r w:rsidRPr="006F02A4">
              <w:rPr>
                <w:rFonts w:ascii="Arial" w:eastAsia="Times New Roman" w:hAnsi="Arial" w:cs="Arial"/>
                <w:b/>
                <w:bCs/>
                <w:color w:val="FFFFFF"/>
                <w:lang w:eastAsia="en-GB"/>
              </w:rPr>
              <w:t xml:space="preserve">Recurrent research funding from the Funding Councils </w:t>
            </w:r>
          </w:p>
        </w:tc>
        <w:tc>
          <w:tcPr>
            <w:tcW w:w="1301" w:type="dxa"/>
            <w:tcBorders>
              <w:top w:val="single" w:sz="4" w:space="0" w:color="auto"/>
              <w:left w:val="nil"/>
              <w:bottom w:val="nil"/>
              <w:right w:val="nil"/>
            </w:tcBorders>
            <w:shd w:val="clear" w:color="000000" w:fill="002554"/>
            <w:vAlign w:val="center"/>
            <w:hideMark/>
          </w:tcPr>
          <w:p w14:paraId="68B80D51" w14:textId="77777777" w:rsidR="006A2190" w:rsidRPr="006F02A4" w:rsidRDefault="006A2190" w:rsidP="00E33E0E">
            <w:pPr>
              <w:spacing w:after="0" w:line="240" w:lineRule="auto"/>
              <w:jc w:val="right"/>
              <w:rPr>
                <w:rFonts w:ascii="Arial" w:eastAsia="Times New Roman" w:hAnsi="Arial" w:cs="Arial"/>
                <w:b/>
                <w:bCs/>
                <w:color w:val="FFFFFF"/>
                <w:lang w:eastAsia="en-GB"/>
              </w:rPr>
            </w:pPr>
            <w:r w:rsidRPr="006F02A4">
              <w:rPr>
                <w:rFonts w:ascii="Arial" w:eastAsia="Times New Roman" w:hAnsi="Arial" w:cs="Arial"/>
                <w:b/>
                <w:bCs/>
                <w:color w:val="FFFFFF"/>
                <w:lang w:eastAsia="en-GB"/>
              </w:rPr>
              <w:t>Institution own-funded</w:t>
            </w:r>
          </w:p>
        </w:tc>
        <w:tc>
          <w:tcPr>
            <w:tcW w:w="1637" w:type="dxa"/>
            <w:tcBorders>
              <w:top w:val="single" w:sz="4" w:space="0" w:color="auto"/>
              <w:left w:val="nil"/>
              <w:bottom w:val="nil"/>
              <w:right w:val="nil"/>
            </w:tcBorders>
            <w:shd w:val="clear" w:color="000000" w:fill="002554"/>
            <w:vAlign w:val="center"/>
            <w:hideMark/>
          </w:tcPr>
          <w:p w14:paraId="77E3DE0C" w14:textId="77777777" w:rsidR="006A2190" w:rsidRPr="006F02A4" w:rsidRDefault="006A2190" w:rsidP="00E33E0E">
            <w:pPr>
              <w:spacing w:after="0" w:line="240" w:lineRule="auto"/>
              <w:jc w:val="right"/>
              <w:rPr>
                <w:rFonts w:ascii="Arial" w:eastAsia="Times New Roman" w:hAnsi="Arial" w:cs="Arial"/>
                <w:b/>
                <w:bCs/>
                <w:color w:val="FFFFFF"/>
                <w:lang w:eastAsia="en-GB"/>
              </w:rPr>
            </w:pPr>
            <w:r w:rsidRPr="006F02A4">
              <w:rPr>
                <w:rFonts w:ascii="Arial" w:eastAsia="Times New Roman" w:hAnsi="Arial" w:cs="Arial"/>
                <w:b/>
                <w:bCs/>
                <w:color w:val="FFFFFF"/>
                <w:lang w:eastAsia="en-GB"/>
              </w:rPr>
              <w:t xml:space="preserve">Training and supervision of postgraduate research students </w:t>
            </w:r>
          </w:p>
        </w:tc>
        <w:tc>
          <w:tcPr>
            <w:tcW w:w="1289" w:type="dxa"/>
            <w:tcBorders>
              <w:top w:val="single" w:sz="4" w:space="0" w:color="auto"/>
              <w:left w:val="nil"/>
              <w:bottom w:val="nil"/>
              <w:right w:val="nil"/>
            </w:tcBorders>
            <w:shd w:val="clear" w:color="000000" w:fill="002554"/>
            <w:vAlign w:val="center"/>
            <w:hideMark/>
          </w:tcPr>
          <w:p w14:paraId="7BCA7BB3" w14:textId="77777777" w:rsidR="006A2190" w:rsidRPr="006F02A4" w:rsidRDefault="006A2190" w:rsidP="00E33E0E">
            <w:pPr>
              <w:spacing w:after="0" w:line="240" w:lineRule="auto"/>
              <w:jc w:val="right"/>
              <w:rPr>
                <w:rFonts w:ascii="Arial" w:eastAsia="Times New Roman" w:hAnsi="Arial" w:cs="Arial"/>
                <w:b/>
                <w:bCs/>
                <w:color w:val="FFFFFF"/>
                <w:lang w:eastAsia="en-GB"/>
              </w:rPr>
            </w:pPr>
            <w:r w:rsidRPr="006F02A4">
              <w:rPr>
                <w:rFonts w:ascii="Arial" w:eastAsia="Times New Roman" w:hAnsi="Arial" w:cs="Arial"/>
                <w:b/>
                <w:bCs/>
                <w:color w:val="FFFFFF"/>
                <w:lang w:eastAsia="en-GB"/>
              </w:rPr>
              <w:t>Research Councils</w:t>
            </w:r>
          </w:p>
        </w:tc>
        <w:tc>
          <w:tcPr>
            <w:tcW w:w="1563" w:type="dxa"/>
            <w:tcBorders>
              <w:top w:val="single" w:sz="4" w:space="0" w:color="auto"/>
              <w:left w:val="nil"/>
              <w:bottom w:val="nil"/>
              <w:right w:val="nil"/>
            </w:tcBorders>
            <w:shd w:val="clear" w:color="000000" w:fill="002554"/>
            <w:vAlign w:val="center"/>
            <w:hideMark/>
          </w:tcPr>
          <w:p w14:paraId="21F88049" w14:textId="77777777" w:rsidR="006A2190" w:rsidRPr="006F02A4" w:rsidRDefault="006A2190" w:rsidP="00E33E0E">
            <w:pPr>
              <w:spacing w:after="0" w:line="240" w:lineRule="auto"/>
              <w:jc w:val="right"/>
              <w:rPr>
                <w:rFonts w:ascii="Arial" w:eastAsia="Times New Roman" w:hAnsi="Arial" w:cs="Arial"/>
                <w:b/>
                <w:bCs/>
                <w:color w:val="FFFFFF"/>
                <w:lang w:eastAsia="en-GB"/>
              </w:rPr>
            </w:pPr>
            <w:r w:rsidRPr="006F02A4">
              <w:rPr>
                <w:rFonts w:ascii="Arial" w:eastAsia="Times New Roman" w:hAnsi="Arial" w:cs="Arial"/>
                <w:b/>
                <w:bCs/>
                <w:color w:val="FFFFFF"/>
                <w:lang w:eastAsia="en-GB"/>
              </w:rPr>
              <w:t>Other government departments</w:t>
            </w:r>
          </w:p>
        </w:tc>
        <w:tc>
          <w:tcPr>
            <w:tcW w:w="987" w:type="dxa"/>
            <w:tcBorders>
              <w:top w:val="single" w:sz="4" w:space="0" w:color="auto"/>
              <w:left w:val="nil"/>
              <w:bottom w:val="nil"/>
              <w:right w:val="nil"/>
            </w:tcBorders>
            <w:shd w:val="clear" w:color="000000" w:fill="002554"/>
            <w:vAlign w:val="center"/>
            <w:hideMark/>
          </w:tcPr>
          <w:p w14:paraId="555E268B" w14:textId="77777777" w:rsidR="006A2190" w:rsidRPr="006F02A4" w:rsidRDefault="006A2190" w:rsidP="00E33E0E">
            <w:pPr>
              <w:spacing w:after="0" w:line="240" w:lineRule="auto"/>
              <w:jc w:val="right"/>
              <w:rPr>
                <w:rFonts w:ascii="Arial" w:eastAsia="Times New Roman" w:hAnsi="Arial" w:cs="Arial"/>
                <w:b/>
                <w:bCs/>
                <w:color w:val="FFFFFF"/>
                <w:lang w:eastAsia="en-GB"/>
              </w:rPr>
            </w:pPr>
            <w:r w:rsidRPr="006F02A4">
              <w:rPr>
                <w:rFonts w:ascii="Arial" w:eastAsia="Times New Roman" w:hAnsi="Arial" w:cs="Arial"/>
                <w:b/>
                <w:bCs/>
                <w:color w:val="FFFFFF"/>
                <w:lang w:eastAsia="en-GB"/>
              </w:rPr>
              <w:t xml:space="preserve">EU </w:t>
            </w:r>
          </w:p>
        </w:tc>
        <w:tc>
          <w:tcPr>
            <w:tcW w:w="1140" w:type="dxa"/>
            <w:tcBorders>
              <w:top w:val="single" w:sz="4" w:space="0" w:color="auto"/>
              <w:left w:val="nil"/>
              <w:bottom w:val="nil"/>
              <w:right w:val="nil"/>
            </w:tcBorders>
            <w:shd w:val="clear" w:color="000000" w:fill="002554"/>
            <w:vAlign w:val="center"/>
            <w:hideMark/>
          </w:tcPr>
          <w:p w14:paraId="17F97AEA" w14:textId="77777777" w:rsidR="006A2190" w:rsidRPr="006F02A4" w:rsidRDefault="006A2190" w:rsidP="00E33E0E">
            <w:pPr>
              <w:spacing w:after="0" w:line="240" w:lineRule="auto"/>
              <w:jc w:val="right"/>
              <w:rPr>
                <w:rFonts w:ascii="Arial" w:eastAsia="Times New Roman" w:hAnsi="Arial" w:cs="Arial"/>
                <w:b/>
                <w:bCs/>
                <w:color w:val="FFFFFF"/>
                <w:lang w:eastAsia="en-GB"/>
              </w:rPr>
            </w:pPr>
            <w:r w:rsidRPr="006F02A4">
              <w:rPr>
                <w:rFonts w:ascii="Arial" w:eastAsia="Times New Roman" w:hAnsi="Arial" w:cs="Arial"/>
                <w:b/>
                <w:bCs/>
                <w:color w:val="FFFFFF"/>
                <w:lang w:eastAsia="en-GB"/>
              </w:rPr>
              <w:t>UK charities</w:t>
            </w:r>
          </w:p>
        </w:tc>
        <w:tc>
          <w:tcPr>
            <w:tcW w:w="1102" w:type="dxa"/>
            <w:tcBorders>
              <w:top w:val="single" w:sz="4" w:space="0" w:color="auto"/>
              <w:left w:val="nil"/>
              <w:bottom w:val="nil"/>
              <w:right w:val="nil"/>
            </w:tcBorders>
            <w:shd w:val="clear" w:color="000000" w:fill="002554"/>
            <w:vAlign w:val="center"/>
            <w:hideMark/>
          </w:tcPr>
          <w:p w14:paraId="58ED235F" w14:textId="77777777" w:rsidR="006A2190" w:rsidRPr="006F02A4" w:rsidRDefault="006A2190" w:rsidP="00E33E0E">
            <w:pPr>
              <w:spacing w:after="0" w:line="240" w:lineRule="auto"/>
              <w:jc w:val="right"/>
              <w:rPr>
                <w:rFonts w:ascii="Arial" w:eastAsia="Times New Roman" w:hAnsi="Arial" w:cs="Arial"/>
                <w:b/>
                <w:bCs/>
                <w:color w:val="FFFFFF"/>
                <w:lang w:eastAsia="en-GB"/>
              </w:rPr>
            </w:pPr>
            <w:r w:rsidRPr="006F02A4">
              <w:rPr>
                <w:rFonts w:ascii="Arial" w:eastAsia="Times New Roman" w:hAnsi="Arial" w:cs="Arial"/>
                <w:b/>
                <w:bCs/>
                <w:color w:val="FFFFFF"/>
                <w:lang w:eastAsia="en-GB"/>
              </w:rPr>
              <w:t xml:space="preserve">Industry </w:t>
            </w:r>
          </w:p>
        </w:tc>
        <w:tc>
          <w:tcPr>
            <w:tcW w:w="1388" w:type="dxa"/>
            <w:tcBorders>
              <w:top w:val="single" w:sz="4" w:space="0" w:color="auto"/>
              <w:left w:val="nil"/>
              <w:bottom w:val="nil"/>
              <w:right w:val="single" w:sz="4" w:space="0" w:color="auto"/>
            </w:tcBorders>
            <w:shd w:val="clear" w:color="000000" w:fill="002554"/>
            <w:vAlign w:val="center"/>
            <w:hideMark/>
          </w:tcPr>
          <w:p w14:paraId="1C72CE7A" w14:textId="77777777" w:rsidR="006A2190" w:rsidRPr="006F02A4" w:rsidRDefault="006A2190" w:rsidP="00E33E0E">
            <w:pPr>
              <w:spacing w:after="0" w:line="240" w:lineRule="auto"/>
              <w:jc w:val="right"/>
              <w:rPr>
                <w:rFonts w:ascii="Arial" w:eastAsia="Times New Roman" w:hAnsi="Arial" w:cs="Arial"/>
                <w:b/>
                <w:bCs/>
                <w:color w:val="FFFFFF"/>
                <w:lang w:eastAsia="en-GB"/>
              </w:rPr>
            </w:pPr>
            <w:r w:rsidRPr="006F02A4">
              <w:rPr>
                <w:rFonts w:ascii="Arial" w:eastAsia="Times New Roman" w:hAnsi="Arial" w:cs="Arial"/>
                <w:b/>
                <w:bCs/>
                <w:color w:val="FFFFFF"/>
                <w:lang w:eastAsia="en-GB"/>
              </w:rPr>
              <w:t xml:space="preserve">Total research </w:t>
            </w:r>
          </w:p>
        </w:tc>
      </w:tr>
      <w:tr w:rsidR="006A2190" w:rsidRPr="006F02A4" w14:paraId="3F8C42F6" w14:textId="77777777" w:rsidTr="00480305">
        <w:trPr>
          <w:trHeight w:val="351"/>
        </w:trPr>
        <w:tc>
          <w:tcPr>
            <w:tcW w:w="3152" w:type="dxa"/>
            <w:tcBorders>
              <w:top w:val="nil"/>
              <w:left w:val="single" w:sz="4" w:space="0" w:color="auto"/>
              <w:bottom w:val="nil"/>
              <w:right w:val="nil"/>
            </w:tcBorders>
            <w:shd w:val="clear" w:color="auto" w:fill="auto"/>
            <w:vAlign w:val="center"/>
            <w:hideMark/>
          </w:tcPr>
          <w:p w14:paraId="5BD96EE5" w14:textId="39B041B2" w:rsidR="006A2190" w:rsidRPr="006F02A4" w:rsidRDefault="00CF7117"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TRAC i</w:t>
            </w:r>
            <w:r w:rsidR="006A2190" w:rsidRPr="006F02A4">
              <w:rPr>
                <w:rFonts w:ascii="Arial" w:eastAsia="Times New Roman" w:hAnsi="Arial" w:cs="Arial"/>
                <w:lang w:eastAsia="en-GB"/>
              </w:rPr>
              <w:t>ncome</w:t>
            </w:r>
          </w:p>
        </w:tc>
        <w:tc>
          <w:tcPr>
            <w:tcW w:w="1277" w:type="dxa"/>
            <w:tcBorders>
              <w:top w:val="nil"/>
              <w:left w:val="nil"/>
              <w:bottom w:val="nil"/>
              <w:right w:val="nil"/>
            </w:tcBorders>
            <w:shd w:val="clear" w:color="auto" w:fill="auto"/>
            <w:vAlign w:val="center"/>
          </w:tcPr>
          <w:p w14:paraId="3F804166"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2,196</w:t>
            </w:r>
          </w:p>
        </w:tc>
        <w:tc>
          <w:tcPr>
            <w:tcW w:w="1301" w:type="dxa"/>
            <w:tcBorders>
              <w:top w:val="nil"/>
              <w:left w:val="nil"/>
              <w:bottom w:val="nil"/>
              <w:right w:val="nil"/>
            </w:tcBorders>
            <w:shd w:val="clear" w:color="auto" w:fill="auto"/>
            <w:vAlign w:val="center"/>
          </w:tcPr>
          <w:p w14:paraId="3659C9B6"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462</w:t>
            </w:r>
          </w:p>
        </w:tc>
        <w:tc>
          <w:tcPr>
            <w:tcW w:w="1637" w:type="dxa"/>
            <w:tcBorders>
              <w:top w:val="nil"/>
              <w:left w:val="nil"/>
              <w:bottom w:val="nil"/>
              <w:right w:val="nil"/>
            </w:tcBorders>
            <w:shd w:val="clear" w:color="auto" w:fill="auto"/>
            <w:vAlign w:val="center"/>
          </w:tcPr>
          <w:p w14:paraId="2D9C14EC"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1,271</w:t>
            </w:r>
          </w:p>
        </w:tc>
        <w:tc>
          <w:tcPr>
            <w:tcW w:w="1289" w:type="dxa"/>
            <w:tcBorders>
              <w:top w:val="nil"/>
              <w:left w:val="nil"/>
              <w:bottom w:val="nil"/>
              <w:right w:val="nil"/>
            </w:tcBorders>
            <w:shd w:val="clear" w:color="auto" w:fill="auto"/>
            <w:vAlign w:val="center"/>
          </w:tcPr>
          <w:p w14:paraId="57DB785A"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2,176</w:t>
            </w:r>
          </w:p>
        </w:tc>
        <w:tc>
          <w:tcPr>
            <w:tcW w:w="1563" w:type="dxa"/>
            <w:tcBorders>
              <w:top w:val="nil"/>
              <w:left w:val="nil"/>
              <w:bottom w:val="nil"/>
              <w:right w:val="nil"/>
            </w:tcBorders>
            <w:shd w:val="clear" w:color="auto" w:fill="auto"/>
            <w:vAlign w:val="center"/>
          </w:tcPr>
          <w:p w14:paraId="19A4EDA3"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1,182</w:t>
            </w:r>
          </w:p>
        </w:tc>
        <w:tc>
          <w:tcPr>
            <w:tcW w:w="987" w:type="dxa"/>
            <w:tcBorders>
              <w:top w:val="nil"/>
              <w:left w:val="nil"/>
              <w:bottom w:val="nil"/>
              <w:right w:val="nil"/>
            </w:tcBorders>
            <w:shd w:val="clear" w:color="auto" w:fill="auto"/>
            <w:vAlign w:val="center"/>
          </w:tcPr>
          <w:p w14:paraId="673D50FE"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731</w:t>
            </w:r>
          </w:p>
        </w:tc>
        <w:tc>
          <w:tcPr>
            <w:tcW w:w="1140" w:type="dxa"/>
            <w:tcBorders>
              <w:top w:val="nil"/>
              <w:left w:val="nil"/>
              <w:bottom w:val="nil"/>
              <w:right w:val="nil"/>
            </w:tcBorders>
            <w:shd w:val="clear" w:color="auto" w:fill="auto"/>
            <w:vAlign w:val="center"/>
          </w:tcPr>
          <w:p w14:paraId="365904C1"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1,246</w:t>
            </w:r>
          </w:p>
        </w:tc>
        <w:tc>
          <w:tcPr>
            <w:tcW w:w="1102" w:type="dxa"/>
            <w:tcBorders>
              <w:top w:val="nil"/>
              <w:left w:val="nil"/>
              <w:bottom w:val="nil"/>
              <w:right w:val="nil"/>
            </w:tcBorders>
            <w:shd w:val="clear" w:color="auto" w:fill="auto"/>
            <w:vAlign w:val="center"/>
          </w:tcPr>
          <w:p w14:paraId="101829D9"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1,266</w:t>
            </w:r>
          </w:p>
        </w:tc>
        <w:tc>
          <w:tcPr>
            <w:tcW w:w="1388" w:type="dxa"/>
            <w:tcBorders>
              <w:top w:val="nil"/>
              <w:left w:val="nil"/>
              <w:bottom w:val="nil"/>
              <w:right w:val="single" w:sz="4" w:space="0" w:color="auto"/>
            </w:tcBorders>
            <w:shd w:val="clear" w:color="auto" w:fill="auto"/>
            <w:vAlign w:val="center"/>
          </w:tcPr>
          <w:p w14:paraId="0A0A131F"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10,531</w:t>
            </w:r>
          </w:p>
        </w:tc>
      </w:tr>
      <w:tr w:rsidR="006A2190" w:rsidRPr="006F02A4" w14:paraId="2793D336" w14:textId="77777777" w:rsidTr="00480305">
        <w:trPr>
          <w:trHeight w:val="351"/>
        </w:trPr>
        <w:tc>
          <w:tcPr>
            <w:tcW w:w="3152" w:type="dxa"/>
            <w:tcBorders>
              <w:top w:val="nil"/>
              <w:left w:val="single" w:sz="4" w:space="0" w:color="auto"/>
              <w:bottom w:val="single" w:sz="4" w:space="0" w:color="auto"/>
              <w:right w:val="nil"/>
            </w:tcBorders>
            <w:shd w:val="clear" w:color="auto" w:fill="auto"/>
            <w:vAlign w:val="center"/>
            <w:hideMark/>
          </w:tcPr>
          <w:p w14:paraId="02F1A1C6" w14:textId="77777777" w:rsidR="006A2190" w:rsidRPr="006F02A4" w:rsidRDefault="006A2190"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TRAC full economic costs</w:t>
            </w:r>
          </w:p>
        </w:tc>
        <w:tc>
          <w:tcPr>
            <w:tcW w:w="1277" w:type="dxa"/>
            <w:tcBorders>
              <w:top w:val="nil"/>
              <w:left w:val="nil"/>
              <w:bottom w:val="single" w:sz="4" w:space="0" w:color="auto"/>
              <w:right w:val="nil"/>
            </w:tcBorders>
            <w:shd w:val="clear" w:color="000000" w:fill="D9D9D9"/>
            <w:vAlign w:val="center"/>
          </w:tcPr>
          <w:p w14:paraId="0AD7EA92"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 </w:t>
            </w:r>
          </w:p>
        </w:tc>
        <w:tc>
          <w:tcPr>
            <w:tcW w:w="1301" w:type="dxa"/>
            <w:tcBorders>
              <w:top w:val="nil"/>
              <w:left w:val="nil"/>
              <w:bottom w:val="single" w:sz="4" w:space="0" w:color="auto"/>
              <w:right w:val="nil"/>
            </w:tcBorders>
            <w:shd w:val="clear" w:color="auto" w:fill="auto"/>
            <w:vAlign w:val="center"/>
          </w:tcPr>
          <w:p w14:paraId="184E9B04"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2,688</w:t>
            </w:r>
          </w:p>
        </w:tc>
        <w:tc>
          <w:tcPr>
            <w:tcW w:w="1637" w:type="dxa"/>
            <w:tcBorders>
              <w:top w:val="nil"/>
              <w:left w:val="nil"/>
              <w:bottom w:val="single" w:sz="4" w:space="0" w:color="auto"/>
              <w:right w:val="nil"/>
            </w:tcBorders>
            <w:shd w:val="clear" w:color="auto" w:fill="auto"/>
            <w:vAlign w:val="center"/>
          </w:tcPr>
          <w:p w14:paraId="1A9DA6DD"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2,788</w:t>
            </w:r>
          </w:p>
        </w:tc>
        <w:tc>
          <w:tcPr>
            <w:tcW w:w="1289" w:type="dxa"/>
            <w:tcBorders>
              <w:top w:val="nil"/>
              <w:left w:val="nil"/>
              <w:bottom w:val="single" w:sz="4" w:space="0" w:color="auto"/>
              <w:right w:val="nil"/>
            </w:tcBorders>
            <w:shd w:val="clear" w:color="auto" w:fill="auto"/>
            <w:vAlign w:val="center"/>
          </w:tcPr>
          <w:p w14:paraId="2D171C47"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3,051</w:t>
            </w:r>
          </w:p>
        </w:tc>
        <w:tc>
          <w:tcPr>
            <w:tcW w:w="1563" w:type="dxa"/>
            <w:tcBorders>
              <w:top w:val="nil"/>
              <w:left w:val="nil"/>
              <w:bottom w:val="single" w:sz="4" w:space="0" w:color="auto"/>
              <w:right w:val="nil"/>
            </w:tcBorders>
            <w:shd w:val="clear" w:color="auto" w:fill="auto"/>
            <w:vAlign w:val="center"/>
          </w:tcPr>
          <w:p w14:paraId="6AA4A386"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1,559</w:t>
            </w:r>
          </w:p>
        </w:tc>
        <w:tc>
          <w:tcPr>
            <w:tcW w:w="987" w:type="dxa"/>
            <w:tcBorders>
              <w:top w:val="nil"/>
              <w:left w:val="nil"/>
              <w:bottom w:val="single" w:sz="4" w:space="0" w:color="auto"/>
              <w:right w:val="nil"/>
            </w:tcBorders>
            <w:shd w:val="clear" w:color="auto" w:fill="auto"/>
            <w:vAlign w:val="center"/>
          </w:tcPr>
          <w:p w14:paraId="49223810"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1,164</w:t>
            </w:r>
          </w:p>
        </w:tc>
        <w:tc>
          <w:tcPr>
            <w:tcW w:w="1140" w:type="dxa"/>
            <w:tcBorders>
              <w:top w:val="nil"/>
              <w:left w:val="nil"/>
              <w:bottom w:val="single" w:sz="4" w:space="0" w:color="auto"/>
              <w:right w:val="nil"/>
            </w:tcBorders>
            <w:shd w:val="clear" w:color="auto" w:fill="auto"/>
            <w:vAlign w:val="center"/>
          </w:tcPr>
          <w:p w14:paraId="40CDA105"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2,172</w:t>
            </w:r>
          </w:p>
        </w:tc>
        <w:tc>
          <w:tcPr>
            <w:tcW w:w="1102" w:type="dxa"/>
            <w:tcBorders>
              <w:top w:val="nil"/>
              <w:left w:val="nil"/>
              <w:bottom w:val="single" w:sz="4" w:space="0" w:color="auto"/>
              <w:right w:val="nil"/>
            </w:tcBorders>
            <w:shd w:val="clear" w:color="auto" w:fill="auto"/>
            <w:vAlign w:val="center"/>
          </w:tcPr>
          <w:p w14:paraId="2BA7032D"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1,684</w:t>
            </w:r>
          </w:p>
        </w:tc>
        <w:tc>
          <w:tcPr>
            <w:tcW w:w="1388" w:type="dxa"/>
            <w:tcBorders>
              <w:top w:val="nil"/>
              <w:left w:val="nil"/>
              <w:bottom w:val="single" w:sz="4" w:space="0" w:color="auto"/>
              <w:right w:val="single" w:sz="4" w:space="0" w:color="auto"/>
            </w:tcBorders>
            <w:shd w:val="clear" w:color="auto" w:fill="auto"/>
            <w:vAlign w:val="center"/>
          </w:tcPr>
          <w:p w14:paraId="41319E54"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15,105</w:t>
            </w:r>
          </w:p>
        </w:tc>
      </w:tr>
      <w:tr w:rsidR="006A2190" w:rsidRPr="006F02A4" w14:paraId="75E8019F" w14:textId="77777777" w:rsidTr="00480305">
        <w:trPr>
          <w:trHeight w:val="351"/>
        </w:trPr>
        <w:tc>
          <w:tcPr>
            <w:tcW w:w="3152" w:type="dxa"/>
            <w:tcBorders>
              <w:top w:val="nil"/>
              <w:left w:val="single" w:sz="4" w:space="0" w:color="auto"/>
              <w:bottom w:val="single" w:sz="4" w:space="0" w:color="auto"/>
              <w:right w:val="nil"/>
            </w:tcBorders>
            <w:shd w:val="clear" w:color="auto" w:fill="auto"/>
            <w:vAlign w:val="center"/>
            <w:hideMark/>
          </w:tcPr>
          <w:p w14:paraId="6D1A7829" w14:textId="04048FB1" w:rsidR="006A2190" w:rsidRPr="006F02A4" w:rsidRDefault="006172DA"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TRAC s</w:t>
            </w:r>
            <w:r w:rsidR="006A2190" w:rsidRPr="006F02A4">
              <w:rPr>
                <w:rFonts w:ascii="Arial" w:eastAsia="Times New Roman" w:hAnsi="Arial" w:cs="Arial"/>
                <w:lang w:eastAsia="en-GB"/>
              </w:rPr>
              <w:t>urplus/(deficit)</w:t>
            </w:r>
          </w:p>
        </w:tc>
        <w:tc>
          <w:tcPr>
            <w:tcW w:w="1277" w:type="dxa"/>
            <w:tcBorders>
              <w:top w:val="nil"/>
              <w:left w:val="nil"/>
              <w:bottom w:val="single" w:sz="4" w:space="0" w:color="auto"/>
              <w:right w:val="nil"/>
            </w:tcBorders>
            <w:shd w:val="clear" w:color="000000" w:fill="D9D9D9"/>
            <w:vAlign w:val="center"/>
          </w:tcPr>
          <w:p w14:paraId="2B80A9EB"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 </w:t>
            </w:r>
          </w:p>
        </w:tc>
        <w:tc>
          <w:tcPr>
            <w:tcW w:w="1301" w:type="dxa"/>
            <w:tcBorders>
              <w:top w:val="nil"/>
              <w:left w:val="nil"/>
              <w:bottom w:val="single" w:sz="4" w:space="0" w:color="auto"/>
              <w:right w:val="nil"/>
            </w:tcBorders>
            <w:shd w:val="clear" w:color="auto" w:fill="auto"/>
            <w:vAlign w:val="center"/>
          </w:tcPr>
          <w:p w14:paraId="02035AF1"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(2,226)</w:t>
            </w:r>
          </w:p>
        </w:tc>
        <w:tc>
          <w:tcPr>
            <w:tcW w:w="1637" w:type="dxa"/>
            <w:tcBorders>
              <w:top w:val="nil"/>
              <w:left w:val="nil"/>
              <w:bottom w:val="single" w:sz="4" w:space="0" w:color="auto"/>
              <w:right w:val="nil"/>
            </w:tcBorders>
            <w:shd w:val="clear" w:color="auto" w:fill="auto"/>
            <w:vAlign w:val="center"/>
          </w:tcPr>
          <w:p w14:paraId="55C4765D"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(1,517)</w:t>
            </w:r>
          </w:p>
        </w:tc>
        <w:tc>
          <w:tcPr>
            <w:tcW w:w="1289" w:type="dxa"/>
            <w:tcBorders>
              <w:top w:val="nil"/>
              <w:left w:val="nil"/>
              <w:bottom w:val="single" w:sz="4" w:space="0" w:color="auto"/>
              <w:right w:val="nil"/>
            </w:tcBorders>
            <w:shd w:val="clear" w:color="auto" w:fill="auto"/>
            <w:vAlign w:val="center"/>
          </w:tcPr>
          <w:p w14:paraId="6CFDAB12"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(875)</w:t>
            </w:r>
          </w:p>
        </w:tc>
        <w:tc>
          <w:tcPr>
            <w:tcW w:w="1563" w:type="dxa"/>
            <w:tcBorders>
              <w:top w:val="nil"/>
              <w:left w:val="nil"/>
              <w:bottom w:val="single" w:sz="4" w:space="0" w:color="auto"/>
              <w:right w:val="nil"/>
            </w:tcBorders>
            <w:shd w:val="clear" w:color="auto" w:fill="auto"/>
            <w:vAlign w:val="center"/>
          </w:tcPr>
          <w:p w14:paraId="5A98C7D9"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(377)</w:t>
            </w:r>
          </w:p>
        </w:tc>
        <w:tc>
          <w:tcPr>
            <w:tcW w:w="987" w:type="dxa"/>
            <w:tcBorders>
              <w:top w:val="nil"/>
              <w:left w:val="nil"/>
              <w:bottom w:val="single" w:sz="4" w:space="0" w:color="auto"/>
              <w:right w:val="nil"/>
            </w:tcBorders>
            <w:shd w:val="clear" w:color="auto" w:fill="auto"/>
            <w:vAlign w:val="center"/>
          </w:tcPr>
          <w:p w14:paraId="3237C8D8"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(433)</w:t>
            </w:r>
          </w:p>
        </w:tc>
        <w:tc>
          <w:tcPr>
            <w:tcW w:w="1140" w:type="dxa"/>
            <w:tcBorders>
              <w:top w:val="nil"/>
              <w:left w:val="nil"/>
              <w:bottom w:val="single" w:sz="4" w:space="0" w:color="auto"/>
              <w:right w:val="nil"/>
            </w:tcBorders>
            <w:shd w:val="clear" w:color="auto" w:fill="auto"/>
            <w:vAlign w:val="center"/>
          </w:tcPr>
          <w:p w14:paraId="2120C75C"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(926)</w:t>
            </w:r>
          </w:p>
        </w:tc>
        <w:tc>
          <w:tcPr>
            <w:tcW w:w="1102" w:type="dxa"/>
            <w:tcBorders>
              <w:top w:val="nil"/>
              <w:left w:val="nil"/>
              <w:bottom w:val="single" w:sz="4" w:space="0" w:color="auto"/>
              <w:right w:val="nil"/>
            </w:tcBorders>
            <w:shd w:val="clear" w:color="auto" w:fill="auto"/>
            <w:vAlign w:val="center"/>
          </w:tcPr>
          <w:p w14:paraId="018CD371"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(418)</w:t>
            </w:r>
          </w:p>
        </w:tc>
        <w:tc>
          <w:tcPr>
            <w:tcW w:w="1388" w:type="dxa"/>
            <w:tcBorders>
              <w:top w:val="nil"/>
              <w:left w:val="nil"/>
              <w:bottom w:val="single" w:sz="4" w:space="0" w:color="auto"/>
              <w:right w:val="single" w:sz="4" w:space="0" w:color="auto"/>
            </w:tcBorders>
            <w:shd w:val="clear" w:color="auto" w:fill="auto"/>
            <w:vAlign w:val="center"/>
          </w:tcPr>
          <w:p w14:paraId="12984050"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(4,575)</w:t>
            </w:r>
          </w:p>
        </w:tc>
      </w:tr>
      <w:tr w:rsidR="006A2190" w:rsidRPr="006F02A4" w14:paraId="06536651" w14:textId="77777777" w:rsidTr="00480305">
        <w:trPr>
          <w:trHeight w:val="612"/>
        </w:trPr>
        <w:tc>
          <w:tcPr>
            <w:tcW w:w="3152" w:type="dxa"/>
            <w:tcBorders>
              <w:top w:val="nil"/>
              <w:left w:val="single" w:sz="4" w:space="0" w:color="auto"/>
              <w:bottom w:val="nil"/>
              <w:right w:val="nil"/>
            </w:tcBorders>
            <w:shd w:val="clear" w:color="auto" w:fill="auto"/>
            <w:vAlign w:val="center"/>
            <w:hideMark/>
          </w:tcPr>
          <w:p w14:paraId="60931DD1" w14:textId="75775067" w:rsidR="006A2190" w:rsidRPr="006F02A4" w:rsidRDefault="006172DA"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TRAC s</w:t>
            </w:r>
            <w:r w:rsidR="006A2190" w:rsidRPr="006F02A4">
              <w:rPr>
                <w:rFonts w:ascii="Arial" w:eastAsia="Times New Roman" w:hAnsi="Arial" w:cs="Arial"/>
                <w:lang w:eastAsia="en-GB"/>
              </w:rPr>
              <w:t>urplus/(deficit) as % of income</w:t>
            </w:r>
          </w:p>
        </w:tc>
        <w:tc>
          <w:tcPr>
            <w:tcW w:w="1277" w:type="dxa"/>
            <w:tcBorders>
              <w:top w:val="nil"/>
              <w:left w:val="nil"/>
              <w:bottom w:val="nil"/>
              <w:right w:val="nil"/>
            </w:tcBorders>
            <w:shd w:val="clear" w:color="000000" w:fill="D9D9D9"/>
            <w:vAlign w:val="center"/>
          </w:tcPr>
          <w:p w14:paraId="06EBD67D"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 </w:t>
            </w:r>
          </w:p>
        </w:tc>
        <w:tc>
          <w:tcPr>
            <w:tcW w:w="1301" w:type="dxa"/>
            <w:tcBorders>
              <w:top w:val="nil"/>
              <w:left w:val="nil"/>
              <w:bottom w:val="nil"/>
              <w:right w:val="nil"/>
            </w:tcBorders>
            <w:shd w:val="clear" w:color="auto" w:fill="auto"/>
            <w:vAlign w:val="center"/>
          </w:tcPr>
          <w:p w14:paraId="20901AAE"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(481.5%)</w:t>
            </w:r>
          </w:p>
        </w:tc>
        <w:tc>
          <w:tcPr>
            <w:tcW w:w="1637" w:type="dxa"/>
            <w:tcBorders>
              <w:top w:val="nil"/>
              <w:left w:val="nil"/>
              <w:bottom w:val="nil"/>
              <w:right w:val="nil"/>
            </w:tcBorders>
            <w:shd w:val="clear" w:color="auto" w:fill="auto"/>
            <w:vAlign w:val="center"/>
          </w:tcPr>
          <w:p w14:paraId="535C5190"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(119.3%)</w:t>
            </w:r>
          </w:p>
        </w:tc>
        <w:tc>
          <w:tcPr>
            <w:tcW w:w="1289" w:type="dxa"/>
            <w:tcBorders>
              <w:top w:val="nil"/>
              <w:left w:val="nil"/>
              <w:bottom w:val="nil"/>
              <w:right w:val="nil"/>
            </w:tcBorders>
            <w:shd w:val="clear" w:color="auto" w:fill="auto"/>
            <w:vAlign w:val="center"/>
          </w:tcPr>
          <w:p w14:paraId="17B1DEAD"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(40.2%)</w:t>
            </w:r>
          </w:p>
        </w:tc>
        <w:tc>
          <w:tcPr>
            <w:tcW w:w="1563" w:type="dxa"/>
            <w:tcBorders>
              <w:top w:val="nil"/>
              <w:left w:val="nil"/>
              <w:bottom w:val="nil"/>
              <w:right w:val="nil"/>
            </w:tcBorders>
            <w:shd w:val="clear" w:color="auto" w:fill="auto"/>
            <w:vAlign w:val="center"/>
          </w:tcPr>
          <w:p w14:paraId="1DB852C4"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(31.9%)</w:t>
            </w:r>
          </w:p>
        </w:tc>
        <w:tc>
          <w:tcPr>
            <w:tcW w:w="987" w:type="dxa"/>
            <w:tcBorders>
              <w:top w:val="nil"/>
              <w:left w:val="nil"/>
              <w:bottom w:val="nil"/>
              <w:right w:val="nil"/>
            </w:tcBorders>
            <w:shd w:val="clear" w:color="auto" w:fill="auto"/>
            <w:vAlign w:val="center"/>
          </w:tcPr>
          <w:p w14:paraId="434BDA5B"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(59.2%)</w:t>
            </w:r>
          </w:p>
        </w:tc>
        <w:tc>
          <w:tcPr>
            <w:tcW w:w="1140" w:type="dxa"/>
            <w:tcBorders>
              <w:top w:val="nil"/>
              <w:left w:val="nil"/>
              <w:bottom w:val="nil"/>
              <w:right w:val="nil"/>
            </w:tcBorders>
            <w:shd w:val="clear" w:color="auto" w:fill="auto"/>
            <w:vAlign w:val="center"/>
          </w:tcPr>
          <w:p w14:paraId="5004B4E4"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(74.3%)</w:t>
            </w:r>
          </w:p>
        </w:tc>
        <w:tc>
          <w:tcPr>
            <w:tcW w:w="1102" w:type="dxa"/>
            <w:tcBorders>
              <w:top w:val="nil"/>
              <w:left w:val="nil"/>
              <w:bottom w:val="nil"/>
              <w:right w:val="nil"/>
            </w:tcBorders>
            <w:shd w:val="clear" w:color="auto" w:fill="auto"/>
            <w:vAlign w:val="center"/>
          </w:tcPr>
          <w:p w14:paraId="5F9C74E1"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(33.0%)</w:t>
            </w:r>
          </w:p>
        </w:tc>
        <w:tc>
          <w:tcPr>
            <w:tcW w:w="1388" w:type="dxa"/>
            <w:tcBorders>
              <w:top w:val="nil"/>
              <w:left w:val="nil"/>
              <w:bottom w:val="nil"/>
              <w:right w:val="single" w:sz="4" w:space="0" w:color="auto"/>
            </w:tcBorders>
            <w:shd w:val="clear" w:color="auto" w:fill="auto"/>
            <w:vAlign w:val="center"/>
          </w:tcPr>
          <w:p w14:paraId="103CC4B7"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(43.4%)</w:t>
            </w:r>
          </w:p>
        </w:tc>
      </w:tr>
      <w:tr w:rsidR="006A2190" w:rsidRPr="006F02A4" w14:paraId="09752682" w14:textId="77777777" w:rsidTr="00480305">
        <w:trPr>
          <w:trHeight w:val="390"/>
        </w:trPr>
        <w:tc>
          <w:tcPr>
            <w:tcW w:w="3152" w:type="dxa"/>
            <w:tcBorders>
              <w:top w:val="nil"/>
              <w:left w:val="single" w:sz="4" w:space="0" w:color="auto"/>
              <w:bottom w:val="nil"/>
              <w:right w:val="nil"/>
            </w:tcBorders>
            <w:shd w:val="clear" w:color="auto" w:fill="auto"/>
            <w:vAlign w:val="center"/>
            <w:hideMark/>
          </w:tcPr>
          <w:p w14:paraId="4888EFFE" w14:textId="77777777" w:rsidR="006A2190" w:rsidRPr="006F02A4" w:rsidRDefault="006A2190" w:rsidP="00E33E0E">
            <w:pPr>
              <w:spacing w:after="0" w:line="240" w:lineRule="auto"/>
              <w:rPr>
                <w:rFonts w:ascii="Arial" w:eastAsia="Times New Roman" w:hAnsi="Arial" w:cs="Arial"/>
                <w:b/>
                <w:bCs/>
                <w:lang w:eastAsia="en-GB"/>
              </w:rPr>
            </w:pPr>
            <w:r w:rsidRPr="006F02A4">
              <w:rPr>
                <w:rFonts w:ascii="Arial" w:eastAsia="Times New Roman" w:hAnsi="Arial" w:cs="Arial"/>
                <w:b/>
                <w:bCs/>
                <w:lang w:eastAsia="en-GB"/>
              </w:rPr>
              <w:t>Recovery of full economic costs %</w:t>
            </w:r>
          </w:p>
        </w:tc>
        <w:tc>
          <w:tcPr>
            <w:tcW w:w="1277" w:type="dxa"/>
            <w:vMerge w:val="restart"/>
            <w:tcBorders>
              <w:top w:val="nil"/>
              <w:left w:val="nil"/>
              <w:bottom w:val="nil"/>
              <w:right w:val="nil"/>
            </w:tcBorders>
            <w:shd w:val="clear" w:color="000000" w:fill="D9D9D9"/>
            <w:vAlign w:val="center"/>
          </w:tcPr>
          <w:p w14:paraId="486BB073" w14:textId="77777777" w:rsidR="006A2190" w:rsidRPr="006F02A4" w:rsidRDefault="006A2190" w:rsidP="00480305">
            <w:pPr>
              <w:spacing w:after="0" w:line="240" w:lineRule="auto"/>
              <w:jc w:val="right"/>
              <w:rPr>
                <w:rFonts w:ascii="Arial" w:eastAsia="Times New Roman" w:hAnsi="Arial" w:cs="Arial"/>
                <w:b/>
                <w:bCs/>
                <w:lang w:eastAsia="en-GB"/>
              </w:rPr>
            </w:pPr>
            <w:r w:rsidRPr="006F02A4">
              <w:rPr>
                <w:rFonts w:ascii="Arial" w:hAnsi="Arial" w:cs="Arial"/>
                <w:color w:val="000000"/>
              </w:rPr>
              <w:t> </w:t>
            </w:r>
          </w:p>
          <w:p w14:paraId="665D0910" w14:textId="77777777" w:rsidR="006A2190" w:rsidRPr="006F02A4" w:rsidRDefault="006A2190" w:rsidP="00480305">
            <w:pPr>
              <w:spacing w:after="0" w:line="240" w:lineRule="auto"/>
              <w:jc w:val="right"/>
              <w:rPr>
                <w:rFonts w:ascii="Arial" w:eastAsia="Times New Roman" w:hAnsi="Arial" w:cs="Arial"/>
                <w:b/>
                <w:bCs/>
                <w:lang w:eastAsia="en-GB"/>
              </w:rPr>
            </w:pPr>
            <w:r w:rsidRPr="006F02A4">
              <w:rPr>
                <w:rFonts w:ascii="Arial" w:hAnsi="Arial" w:cs="Arial"/>
                <w:color w:val="000000"/>
              </w:rPr>
              <w:t> </w:t>
            </w:r>
          </w:p>
        </w:tc>
        <w:tc>
          <w:tcPr>
            <w:tcW w:w="1301" w:type="dxa"/>
            <w:tcBorders>
              <w:top w:val="nil"/>
              <w:left w:val="nil"/>
              <w:bottom w:val="nil"/>
              <w:right w:val="nil"/>
            </w:tcBorders>
            <w:shd w:val="clear" w:color="auto" w:fill="auto"/>
            <w:vAlign w:val="center"/>
          </w:tcPr>
          <w:p w14:paraId="1A318A20" w14:textId="77777777" w:rsidR="006A2190" w:rsidRPr="006F02A4" w:rsidRDefault="006A2190" w:rsidP="00480305">
            <w:pPr>
              <w:spacing w:after="0" w:line="240" w:lineRule="auto"/>
              <w:jc w:val="right"/>
              <w:rPr>
                <w:rFonts w:ascii="Arial" w:eastAsia="Times New Roman" w:hAnsi="Arial" w:cs="Arial"/>
                <w:b/>
                <w:bCs/>
                <w:lang w:eastAsia="en-GB"/>
              </w:rPr>
            </w:pPr>
            <w:r w:rsidRPr="006F02A4">
              <w:rPr>
                <w:rFonts w:ascii="Arial" w:hAnsi="Arial" w:cs="Arial"/>
                <w:color w:val="000000"/>
              </w:rPr>
              <w:t>17.2%</w:t>
            </w:r>
          </w:p>
        </w:tc>
        <w:tc>
          <w:tcPr>
            <w:tcW w:w="1637" w:type="dxa"/>
            <w:tcBorders>
              <w:top w:val="nil"/>
              <w:left w:val="nil"/>
              <w:bottom w:val="nil"/>
              <w:right w:val="nil"/>
            </w:tcBorders>
            <w:shd w:val="clear" w:color="auto" w:fill="auto"/>
            <w:vAlign w:val="center"/>
          </w:tcPr>
          <w:p w14:paraId="798CA2E5" w14:textId="77777777" w:rsidR="006A2190" w:rsidRPr="006F02A4" w:rsidRDefault="006A2190" w:rsidP="00480305">
            <w:pPr>
              <w:spacing w:after="0" w:line="240" w:lineRule="auto"/>
              <w:jc w:val="right"/>
              <w:rPr>
                <w:rFonts w:ascii="Arial" w:eastAsia="Times New Roman" w:hAnsi="Arial" w:cs="Arial"/>
                <w:b/>
                <w:bCs/>
                <w:lang w:eastAsia="en-GB"/>
              </w:rPr>
            </w:pPr>
            <w:r w:rsidRPr="006F02A4">
              <w:rPr>
                <w:rFonts w:ascii="Arial" w:hAnsi="Arial" w:cs="Arial"/>
                <w:color w:val="000000"/>
              </w:rPr>
              <w:t>45.6%</w:t>
            </w:r>
          </w:p>
        </w:tc>
        <w:tc>
          <w:tcPr>
            <w:tcW w:w="1289" w:type="dxa"/>
            <w:tcBorders>
              <w:top w:val="nil"/>
              <w:left w:val="nil"/>
              <w:bottom w:val="nil"/>
              <w:right w:val="nil"/>
            </w:tcBorders>
            <w:shd w:val="clear" w:color="auto" w:fill="auto"/>
            <w:vAlign w:val="center"/>
          </w:tcPr>
          <w:p w14:paraId="23523104" w14:textId="77777777" w:rsidR="006A2190" w:rsidRPr="006F02A4" w:rsidRDefault="006A2190" w:rsidP="00480305">
            <w:pPr>
              <w:spacing w:after="0" w:line="240" w:lineRule="auto"/>
              <w:jc w:val="right"/>
              <w:rPr>
                <w:rFonts w:ascii="Arial" w:eastAsia="Times New Roman" w:hAnsi="Arial" w:cs="Arial"/>
                <w:b/>
                <w:bCs/>
                <w:lang w:eastAsia="en-GB"/>
              </w:rPr>
            </w:pPr>
            <w:r w:rsidRPr="006F02A4">
              <w:rPr>
                <w:rFonts w:ascii="Arial" w:hAnsi="Arial" w:cs="Arial"/>
                <w:color w:val="000000"/>
              </w:rPr>
              <w:t>71.3%</w:t>
            </w:r>
          </w:p>
        </w:tc>
        <w:tc>
          <w:tcPr>
            <w:tcW w:w="1563" w:type="dxa"/>
            <w:tcBorders>
              <w:top w:val="nil"/>
              <w:left w:val="nil"/>
              <w:bottom w:val="nil"/>
              <w:right w:val="nil"/>
            </w:tcBorders>
            <w:shd w:val="clear" w:color="auto" w:fill="auto"/>
            <w:vAlign w:val="center"/>
          </w:tcPr>
          <w:p w14:paraId="232F29D1" w14:textId="77777777" w:rsidR="006A2190" w:rsidRPr="006F02A4" w:rsidRDefault="006A2190" w:rsidP="00480305">
            <w:pPr>
              <w:spacing w:after="0" w:line="240" w:lineRule="auto"/>
              <w:jc w:val="right"/>
              <w:rPr>
                <w:rFonts w:ascii="Arial" w:eastAsia="Times New Roman" w:hAnsi="Arial" w:cs="Arial"/>
                <w:b/>
                <w:bCs/>
                <w:lang w:eastAsia="en-GB"/>
              </w:rPr>
            </w:pPr>
            <w:r w:rsidRPr="006F02A4">
              <w:rPr>
                <w:rFonts w:ascii="Arial" w:hAnsi="Arial" w:cs="Arial"/>
                <w:color w:val="000000"/>
              </w:rPr>
              <w:t>75.8%</w:t>
            </w:r>
          </w:p>
        </w:tc>
        <w:tc>
          <w:tcPr>
            <w:tcW w:w="987" w:type="dxa"/>
            <w:tcBorders>
              <w:top w:val="nil"/>
              <w:left w:val="nil"/>
              <w:bottom w:val="nil"/>
              <w:right w:val="nil"/>
            </w:tcBorders>
            <w:shd w:val="clear" w:color="auto" w:fill="auto"/>
            <w:vAlign w:val="center"/>
          </w:tcPr>
          <w:p w14:paraId="6363F5B7" w14:textId="77777777" w:rsidR="006A2190" w:rsidRPr="006F02A4" w:rsidRDefault="006A2190" w:rsidP="00480305">
            <w:pPr>
              <w:spacing w:after="0" w:line="240" w:lineRule="auto"/>
              <w:jc w:val="right"/>
              <w:rPr>
                <w:rFonts w:ascii="Arial" w:eastAsia="Times New Roman" w:hAnsi="Arial" w:cs="Arial"/>
                <w:b/>
                <w:bCs/>
                <w:lang w:eastAsia="en-GB"/>
              </w:rPr>
            </w:pPr>
            <w:r w:rsidRPr="006F02A4">
              <w:rPr>
                <w:rFonts w:ascii="Arial" w:hAnsi="Arial" w:cs="Arial"/>
                <w:color w:val="000000"/>
              </w:rPr>
              <w:t>62.8%</w:t>
            </w:r>
          </w:p>
        </w:tc>
        <w:tc>
          <w:tcPr>
            <w:tcW w:w="1140" w:type="dxa"/>
            <w:tcBorders>
              <w:top w:val="nil"/>
              <w:left w:val="nil"/>
              <w:bottom w:val="nil"/>
              <w:right w:val="nil"/>
            </w:tcBorders>
            <w:shd w:val="clear" w:color="auto" w:fill="auto"/>
            <w:vAlign w:val="center"/>
          </w:tcPr>
          <w:p w14:paraId="0CD64F91" w14:textId="77777777" w:rsidR="006A2190" w:rsidRPr="006F02A4" w:rsidRDefault="006A2190" w:rsidP="00480305">
            <w:pPr>
              <w:spacing w:after="0" w:line="240" w:lineRule="auto"/>
              <w:jc w:val="right"/>
              <w:rPr>
                <w:rFonts w:ascii="Arial" w:eastAsia="Times New Roman" w:hAnsi="Arial" w:cs="Arial"/>
                <w:b/>
                <w:bCs/>
                <w:lang w:eastAsia="en-GB"/>
              </w:rPr>
            </w:pPr>
            <w:r w:rsidRPr="006F02A4">
              <w:rPr>
                <w:rFonts w:ascii="Arial" w:hAnsi="Arial" w:cs="Arial"/>
                <w:color w:val="000000"/>
              </w:rPr>
              <w:t>57.4%</w:t>
            </w:r>
          </w:p>
        </w:tc>
        <w:tc>
          <w:tcPr>
            <w:tcW w:w="1102" w:type="dxa"/>
            <w:tcBorders>
              <w:top w:val="nil"/>
              <w:left w:val="nil"/>
              <w:bottom w:val="nil"/>
              <w:right w:val="nil"/>
            </w:tcBorders>
            <w:shd w:val="clear" w:color="auto" w:fill="auto"/>
            <w:vAlign w:val="center"/>
          </w:tcPr>
          <w:p w14:paraId="14B7183D" w14:textId="77777777" w:rsidR="006A2190" w:rsidRPr="006F02A4" w:rsidRDefault="006A2190" w:rsidP="00480305">
            <w:pPr>
              <w:spacing w:after="0" w:line="240" w:lineRule="auto"/>
              <w:jc w:val="right"/>
              <w:rPr>
                <w:rFonts w:ascii="Arial" w:eastAsia="Times New Roman" w:hAnsi="Arial" w:cs="Arial"/>
                <w:b/>
                <w:bCs/>
                <w:lang w:eastAsia="en-GB"/>
              </w:rPr>
            </w:pPr>
            <w:r w:rsidRPr="006F02A4">
              <w:rPr>
                <w:rFonts w:ascii="Arial" w:hAnsi="Arial" w:cs="Arial"/>
                <w:color w:val="000000"/>
              </w:rPr>
              <w:t>75.2%</w:t>
            </w:r>
          </w:p>
        </w:tc>
        <w:tc>
          <w:tcPr>
            <w:tcW w:w="1388" w:type="dxa"/>
            <w:tcBorders>
              <w:top w:val="nil"/>
              <w:left w:val="nil"/>
              <w:bottom w:val="nil"/>
              <w:right w:val="single" w:sz="4" w:space="0" w:color="auto"/>
            </w:tcBorders>
            <w:shd w:val="clear" w:color="auto" w:fill="auto"/>
            <w:vAlign w:val="center"/>
          </w:tcPr>
          <w:p w14:paraId="4F29963B" w14:textId="77777777" w:rsidR="006A2190" w:rsidRPr="006F02A4" w:rsidRDefault="006A2190" w:rsidP="00480305">
            <w:pPr>
              <w:spacing w:after="0" w:line="240" w:lineRule="auto"/>
              <w:jc w:val="right"/>
              <w:rPr>
                <w:rFonts w:ascii="Arial" w:eastAsia="Times New Roman" w:hAnsi="Arial" w:cs="Arial"/>
                <w:b/>
                <w:bCs/>
                <w:lang w:eastAsia="en-GB"/>
              </w:rPr>
            </w:pPr>
            <w:r w:rsidRPr="006F02A4">
              <w:rPr>
                <w:rFonts w:ascii="Arial" w:hAnsi="Arial" w:cs="Arial"/>
                <w:color w:val="000000"/>
              </w:rPr>
              <w:t>69.7%</w:t>
            </w:r>
          </w:p>
        </w:tc>
      </w:tr>
      <w:tr w:rsidR="006A2190" w:rsidRPr="006F02A4" w14:paraId="0E61105A" w14:textId="77777777" w:rsidTr="00480305">
        <w:trPr>
          <w:trHeight w:val="599"/>
        </w:trPr>
        <w:tc>
          <w:tcPr>
            <w:tcW w:w="3152" w:type="dxa"/>
            <w:tcBorders>
              <w:top w:val="nil"/>
              <w:left w:val="single" w:sz="4" w:space="0" w:color="auto"/>
              <w:bottom w:val="single" w:sz="4" w:space="0" w:color="auto"/>
              <w:right w:val="nil"/>
            </w:tcBorders>
            <w:shd w:val="clear" w:color="auto" w:fill="auto"/>
            <w:vAlign w:val="center"/>
            <w:hideMark/>
          </w:tcPr>
          <w:p w14:paraId="6E53113B" w14:textId="77777777" w:rsidR="006A2190" w:rsidRPr="006F02A4" w:rsidRDefault="006A2190"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Recovery of full economic costs % (2018-19)</w:t>
            </w:r>
          </w:p>
        </w:tc>
        <w:tc>
          <w:tcPr>
            <w:tcW w:w="1277" w:type="dxa"/>
            <w:vMerge/>
            <w:tcBorders>
              <w:top w:val="nil"/>
              <w:left w:val="nil"/>
              <w:bottom w:val="single" w:sz="4" w:space="0" w:color="auto"/>
              <w:right w:val="nil"/>
            </w:tcBorders>
            <w:shd w:val="clear" w:color="000000" w:fill="D9D9D9"/>
            <w:vAlign w:val="center"/>
          </w:tcPr>
          <w:p w14:paraId="03C8F3A2" w14:textId="77777777" w:rsidR="006A2190" w:rsidRPr="006F02A4" w:rsidRDefault="006A2190" w:rsidP="00480305">
            <w:pPr>
              <w:spacing w:after="0" w:line="240" w:lineRule="auto"/>
              <w:jc w:val="right"/>
              <w:rPr>
                <w:rFonts w:ascii="Arial" w:eastAsia="Times New Roman" w:hAnsi="Arial" w:cs="Arial"/>
                <w:lang w:eastAsia="en-GB"/>
              </w:rPr>
            </w:pPr>
          </w:p>
        </w:tc>
        <w:tc>
          <w:tcPr>
            <w:tcW w:w="1301" w:type="dxa"/>
            <w:tcBorders>
              <w:top w:val="nil"/>
              <w:left w:val="nil"/>
              <w:bottom w:val="single" w:sz="4" w:space="0" w:color="auto"/>
              <w:right w:val="nil"/>
            </w:tcBorders>
            <w:shd w:val="clear" w:color="auto" w:fill="auto"/>
            <w:vAlign w:val="center"/>
          </w:tcPr>
          <w:p w14:paraId="4F37303E"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21.0%</w:t>
            </w:r>
          </w:p>
        </w:tc>
        <w:tc>
          <w:tcPr>
            <w:tcW w:w="1637" w:type="dxa"/>
            <w:tcBorders>
              <w:top w:val="nil"/>
              <w:left w:val="nil"/>
              <w:bottom w:val="single" w:sz="4" w:space="0" w:color="auto"/>
              <w:right w:val="nil"/>
            </w:tcBorders>
            <w:shd w:val="clear" w:color="auto" w:fill="auto"/>
            <w:vAlign w:val="center"/>
          </w:tcPr>
          <w:p w14:paraId="1342A2AD"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45.3%</w:t>
            </w:r>
          </w:p>
        </w:tc>
        <w:tc>
          <w:tcPr>
            <w:tcW w:w="1289" w:type="dxa"/>
            <w:tcBorders>
              <w:top w:val="nil"/>
              <w:left w:val="nil"/>
              <w:bottom w:val="single" w:sz="4" w:space="0" w:color="auto"/>
              <w:right w:val="nil"/>
            </w:tcBorders>
            <w:shd w:val="clear" w:color="auto" w:fill="auto"/>
            <w:vAlign w:val="center"/>
          </w:tcPr>
          <w:p w14:paraId="7E678CC1"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74.1%</w:t>
            </w:r>
          </w:p>
        </w:tc>
        <w:tc>
          <w:tcPr>
            <w:tcW w:w="1563" w:type="dxa"/>
            <w:tcBorders>
              <w:top w:val="nil"/>
              <w:left w:val="nil"/>
              <w:bottom w:val="single" w:sz="4" w:space="0" w:color="auto"/>
              <w:right w:val="nil"/>
            </w:tcBorders>
            <w:shd w:val="clear" w:color="auto" w:fill="auto"/>
            <w:vAlign w:val="center"/>
          </w:tcPr>
          <w:p w14:paraId="658FB402"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74.9%</w:t>
            </w:r>
          </w:p>
        </w:tc>
        <w:tc>
          <w:tcPr>
            <w:tcW w:w="987" w:type="dxa"/>
            <w:tcBorders>
              <w:top w:val="nil"/>
              <w:left w:val="nil"/>
              <w:bottom w:val="single" w:sz="4" w:space="0" w:color="auto"/>
              <w:right w:val="nil"/>
            </w:tcBorders>
            <w:shd w:val="clear" w:color="auto" w:fill="auto"/>
            <w:vAlign w:val="center"/>
          </w:tcPr>
          <w:p w14:paraId="54F9A025"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68.9%</w:t>
            </w:r>
          </w:p>
        </w:tc>
        <w:tc>
          <w:tcPr>
            <w:tcW w:w="1140" w:type="dxa"/>
            <w:tcBorders>
              <w:top w:val="nil"/>
              <w:left w:val="nil"/>
              <w:bottom w:val="single" w:sz="4" w:space="0" w:color="auto"/>
              <w:right w:val="nil"/>
            </w:tcBorders>
            <w:shd w:val="clear" w:color="auto" w:fill="auto"/>
            <w:vAlign w:val="center"/>
          </w:tcPr>
          <w:p w14:paraId="0781891B"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59.5%</w:t>
            </w:r>
          </w:p>
        </w:tc>
        <w:tc>
          <w:tcPr>
            <w:tcW w:w="1102" w:type="dxa"/>
            <w:tcBorders>
              <w:top w:val="nil"/>
              <w:left w:val="nil"/>
              <w:bottom w:val="single" w:sz="4" w:space="0" w:color="auto"/>
              <w:right w:val="nil"/>
            </w:tcBorders>
            <w:shd w:val="clear" w:color="auto" w:fill="auto"/>
            <w:vAlign w:val="center"/>
          </w:tcPr>
          <w:p w14:paraId="0F75863C"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77.2%</w:t>
            </w:r>
          </w:p>
        </w:tc>
        <w:tc>
          <w:tcPr>
            <w:tcW w:w="1388" w:type="dxa"/>
            <w:tcBorders>
              <w:top w:val="nil"/>
              <w:left w:val="nil"/>
              <w:bottom w:val="single" w:sz="4" w:space="0" w:color="auto"/>
              <w:right w:val="single" w:sz="4" w:space="0" w:color="auto"/>
            </w:tcBorders>
            <w:shd w:val="clear" w:color="auto" w:fill="auto"/>
            <w:vAlign w:val="center"/>
          </w:tcPr>
          <w:p w14:paraId="2AAB72D5"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70.8%</w:t>
            </w:r>
          </w:p>
        </w:tc>
      </w:tr>
      <w:tr w:rsidR="006A2190" w:rsidRPr="006F02A4" w14:paraId="67742F78" w14:textId="77777777" w:rsidTr="00480305">
        <w:trPr>
          <w:trHeight w:val="241"/>
        </w:trPr>
        <w:tc>
          <w:tcPr>
            <w:tcW w:w="3152" w:type="dxa"/>
            <w:tcBorders>
              <w:top w:val="nil"/>
              <w:left w:val="single" w:sz="4" w:space="0" w:color="auto"/>
              <w:bottom w:val="nil"/>
              <w:right w:val="nil"/>
            </w:tcBorders>
            <w:shd w:val="clear" w:color="auto" w:fill="auto"/>
            <w:vAlign w:val="center"/>
            <w:hideMark/>
          </w:tcPr>
          <w:p w14:paraId="3CBCFE4C" w14:textId="77777777" w:rsidR="006A2190" w:rsidRPr="006F02A4" w:rsidRDefault="006A2190" w:rsidP="00E33E0E">
            <w:pPr>
              <w:spacing w:after="0" w:line="240" w:lineRule="auto"/>
              <w:rPr>
                <w:rFonts w:ascii="Arial" w:eastAsia="Times New Roman" w:hAnsi="Arial" w:cs="Arial"/>
                <w:b/>
                <w:bCs/>
                <w:lang w:eastAsia="en-GB"/>
              </w:rPr>
            </w:pPr>
            <w:r w:rsidRPr="006F02A4">
              <w:rPr>
                <w:rFonts w:ascii="Arial" w:eastAsia="Times New Roman" w:hAnsi="Arial" w:cs="Arial"/>
                <w:b/>
                <w:bCs/>
                <w:lang w:eastAsia="en-GB"/>
              </w:rPr>
              <w:t>Included in income</w:t>
            </w:r>
          </w:p>
        </w:tc>
        <w:tc>
          <w:tcPr>
            <w:tcW w:w="1277" w:type="dxa"/>
            <w:tcBorders>
              <w:top w:val="nil"/>
              <w:left w:val="nil"/>
              <w:bottom w:val="nil"/>
              <w:right w:val="nil"/>
            </w:tcBorders>
            <w:shd w:val="clear" w:color="auto" w:fill="auto"/>
            <w:vAlign w:val="center"/>
          </w:tcPr>
          <w:p w14:paraId="39748CE4" w14:textId="77777777" w:rsidR="006A2190" w:rsidRPr="006F02A4" w:rsidRDefault="006A2190" w:rsidP="00480305">
            <w:pPr>
              <w:spacing w:after="0" w:line="240" w:lineRule="auto"/>
              <w:jc w:val="right"/>
              <w:rPr>
                <w:rFonts w:ascii="Arial" w:eastAsia="Times New Roman" w:hAnsi="Arial" w:cs="Arial"/>
                <w:b/>
                <w:bCs/>
                <w:lang w:eastAsia="en-GB"/>
              </w:rPr>
            </w:pPr>
          </w:p>
        </w:tc>
        <w:tc>
          <w:tcPr>
            <w:tcW w:w="1301" w:type="dxa"/>
            <w:tcBorders>
              <w:top w:val="nil"/>
              <w:left w:val="nil"/>
              <w:bottom w:val="nil"/>
              <w:right w:val="nil"/>
            </w:tcBorders>
            <w:shd w:val="clear" w:color="auto" w:fill="auto"/>
            <w:vAlign w:val="center"/>
          </w:tcPr>
          <w:p w14:paraId="474DD427" w14:textId="77777777" w:rsidR="006A2190" w:rsidRPr="006F02A4" w:rsidRDefault="006A2190" w:rsidP="00480305">
            <w:pPr>
              <w:spacing w:after="0" w:line="240" w:lineRule="auto"/>
              <w:jc w:val="right"/>
              <w:rPr>
                <w:rFonts w:ascii="Times New Roman" w:eastAsia="Times New Roman" w:hAnsi="Times New Roman" w:cs="Times New Roman"/>
                <w:lang w:eastAsia="en-GB"/>
              </w:rPr>
            </w:pPr>
          </w:p>
        </w:tc>
        <w:tc>
          <w:tcPr>
            <w:tcW w:w="1637" w:type="dxa"/>
            <w:tcBorders>
              <w:top w:val="nil"/>
              <w:left w:val="nil"/>
              <w:bottom w:val="nil"/>
              <w:right w:val="nil"/>
            </w:tcBorders>
            <w:shd w:val="clear" w:color="auto" w:fill="auto"/>
            <w:vAlign w:val="center"/>
          </w:tcPr>
          <w:p w14:paraId="0FD0C765" w14:textId="77777777" w:rsidR="006A2190" w:rsidRPr="006F02A4" w:rsidRDefault="006A2190" w:rsidP="00480305">
            <w:pPr>
              <w:spacing w:after="0" w:line="240" w:lineRule="auto"/>
              <w:jc w:val="right"/>
              <w:rPr>
                <w:rFonts w:ascii="Times New Roman" w:eastAsia="Times New Roman" w:hAnsi="Times New Roman" w:cs="Times New Roman"/>
                <w:lang w:eastAsia="en-GB"/>
              </w:rPr>
            </w:pPr>
          </w:p>
        </w:tc>
        <w:tc>
          <w:tcPr>
            <w:tcW w:w="1289" w:type="dxa"/>
            <w:tcBorders>
              <w:top w:val="nil"/>
              <w:left w:val="nil"/>
              <w:bottom w:val="nil"/>
              <w:right w:val="nil"/>
            </w:tcBorders>
            <w:shd w:val="clear" w:color="auto" w:fill="auto"/>
            <w:vAlign w:val="center"/>
          </w:tcPr>
          <w:p w14:paraId="577E1E65" w14:textId="77777777" w:rsidR="006A2190" w:rsidRPr="006F02A4" w:rsidRDefault="006A2190" w:rsidP="00480305">
            <w:pPr>
              <w:spacing w:after="0" w:line="240" w:lineRule="auto"/>
              <w:jc w:val="right"/>
              <w:rPr>
                <w:rFonts w:ascii="Times New Roman" w:eastAsia="Times New Roman" w:hAnsi="Times New Roman" w:cs="Times New Roman"/>
                <w:lang w:eastAsia="en-GB"/>
              </w:rPr>
            </w:pPr>
          </w:p>
        </w:tc>
        <w:tc>
          <w:tcPr>
            <w:tcW w:w="1563" w:type="dxa"/>
            <w:tcBorders>
              <w:top w:val="nil"/>
              <w:left w:val="nil"/>
              <w:bottom w:val="nil"/>
              <w:right w:val="nil"/>
            </w:tcBorders>
            <w:shd w:val="clear" w:color="auto" w:fill="auto"/>
            <w:vAlign w:val="center"/>
          </w:tcPr>
          <w:p w14:paraId="1C60E515" w14:textId="77777777" w:rsidR="006A2190" w:rsidRPr="006F02A4" w:rsidRDefault="006A2190" w:rsidP="00480305">
            <w:pPr>
              <w:spacing w:after="0" w:line="240" w:lineRule="auto"/>
              <w:jc w:val="right"/>
              <w:rPr>
                <w:rFonts w:ascii="Times New Roman" w:eastAsia="Times New Roman" w:hAnsi="Times New Roman" w:cs="Times New Roman"/>
                <w:lang w:eastAsia="en-GB"/>
              </w:rPr>
            </w:pPr>
          </w:p>
        </w:tc>
        <w:tc>
          <w:tcPr>
            <w:tcW w:w="987" w:type="dxa"/>
            <w:tcBorders>
              <w:top w:val="nil"/>
              <w:left w:val="nil"/>
              <w:bottom w:val="nil"/>
              <w:right w:val="nil"/>
            </w:tcBorders>
            <w:shd w:val="clear" w:color="auto" w:fill="auto"/>
            <w:vAlign w:val="center"/>
          </w:tcPr>
          <w:p w14:paraId="4C4108AE" w14:textId="77777777" w:rsidR="006A2190" w:rsidRPr="006F02A4" w:rsidRDefault="006A2190" w:rsidP="00480305">
            <w:pPr>
              <w:spacing w:after="0" w:line="240" w:lineRule="auto"/>
              <w:jc w:val="right"/>
              <w:rPr>
                <w:rFonts w:ascii="Times New Roman" w:eastAsia="Times New Roman" w:hAnsi="Times New Roman" w:cs="Times New Roman"/>
                <w:lang w:eastAsia="en-GB"/>
              </w:rPr>
            </w:pPr>
          </w:p>
        </w:tc>
        <w:tc>
          <w:tcPr>
            <w:tcW w:w="1140" w:type="dxa"/>
            <w:tcBorders>
              <w:top w:val="nil"/>
              <w:left w:val="nil"/>
              <w:bottom w:val="nil"/>
              <w:right w:val="nil"/>
            </w:tcBorders>
            <w:shd w:val="clear" w:color="auto" w:fill="auto"/>
            <w:vAlign w:val="center"/>
          </w:tcPr>
          <w:p w14:paraId="75F6E1EF" w14:textId="77777777" w:rsidR="006A2190" w:rsidRPr="006F02A4" w:rsidRDefault="006A2190" w:rsidP="00480305">
            <w:pPr>
              <w:spacing w:after="0" w:line="240" w:lineRule="auto"/>
              <w:jc w:val="right"/>
              <w:rPr>
                <w:rFonts w:ascii="Times New Roman" w:eastAsia="Times New Roman" w:hAnsi="Times New Roman" w:cs="Times New Roman"/>
                <w:lang w:eastAsia="en-GB"/>
              </w:rPr>
            </w:pPr>
          </w:p>
        </w:tc>
        <w:tc>
          <w:tcPr>
            <w:tcW w:w="1102" w:type="dxa"/>
            <w:tcBorders>
              <w:top w:val="nil"/>
              <w:left w:val="nil"/>
              <w:bottom w:val="nil"/>
              <w:right w:val="nil"/>
            </w:tcBorders>
            <w:shd w:val="clear" w:color="auto" w:fill="auto"/>
            <w:vAlign w:val="center"/>
          </w:tcPr>
          <w:p w14:paraId="1B468F27" w14:textId="77777777" w:rsidR="006A2190" w:rsidRPr="006F02A4" w:rsidRDefault="006A2190" w:rsidP="00480305">
            <w:pPr>
              <w:spacing w:after="0" w:line="240" w:lineRule="auto"/>
              <w:jc w:val="right"/>
              <w:rPr>
                <w:rFonts w:ascii="Times New Roman" w:eastAsia="Times New Roman" w:hAnsi="Times New Roman" w:cs="Times New Roman"/>
                <w:lang w:eastAsia="en-GB"/>
              </w:rPr>
            </w:pPr>
          </w:p>
        </w:tc>
        <w:tc>
          <w:tcPr>
            <w:tcW w:w="1388" w:type="dxa"/>
            <w:tcBorders>
              <w:top w:val="nil"/>
              <w:left w:val="nil"/>
              <w:bottom w:val="nil"/>
              <w:right w:val="single" w:sz="4" w:space="0" w:color="auto"/>
            </w:tcBorders>
            <w:shd w:val="clear" w:color="auto" w:fill="auto"/>
            <w:vAlign w:val="center"/>
          </w:tcPr>
          <w:p w14:paraId="7CEE926C"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 </w:t>
            </w:r>
          </w:p>
        </w:tc>
      </w:tr>
      <w:tr w:rsidR="006A2190" w:rsidRPr="006F02A4" w14:paraId="2323BF27" w14:textId="77777777" w:rsidTr="00480305">
        <w:trPr>
          <w:trHeight w:val="390"/>
        </w:trPr>
        <w:tc>
          <w:tcPr>
            <w:tcW w:w="3152" w:type="dxa"/>
            <w:tcBorders>
              <w:top w:val="nil"/>
              <w:left w:val="single" w:sz="4" w:space="0" w:color="auto"/>
              <w:bottom w:val="nil"/>
              <w:right w:val="nil"/>
            </w:tcBorders>
            <w:shd w:val="clear" w:color="auto" w:fill="auto"/>
            <w:vAlign w:val="center"/>
            <w:hideMark/>
          </w:tcPr>
          <w:p w14:paraId="6F4E00B5" w14:textId="77777777" w:rsidR="006A2190" w:rsidRPr="006F02A4" w:rsidRDefault="006A2190"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New endowments received</w:t>
            </w:r>
          </w:p>
        </w:tc>
        <w:tc>
          <w:tcPr>
            <w:tcW w:w="1277" w:type="dxa"/>
            <w:tcBorders>
              <w:top w:val="nil"/>
              <w:left w:val="nil"/>
              <w:bottom w:val="nil"/>
              <w:right w:val="nil"/>
            </w:tcBorders>
            <w:shd w:val="clear" w:color="auto" w:fill="auto"/>
            <w:vAlign w:val="center"/>
          </w:tcPr>
          <w:p w14:paraId="1E7E1219"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0</w:t>
            </w:r>
          </w:p>
        </w:tc>
        <w:tc>
          <w:tcPr>
            <w:tcW w:w="1301" w:type="dxa"/>
            <w:tcBorders>
              <w:top w:val="nil"/>
              <w:left w:val="nil"/>
              <w:bottom w:val="nil"/>
              <w:right w:val="nil"/>
            </w:tcBorders>
            <w:shd w:val="clear" w:color="auto" w:fill="auto"/>
            <w:vAlign w:val="center"/>
          </w:tcPr>
          <w:p w14:paraId="658903C0"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78</w:t>
            </w:r>
          </w:p>
        </w:tc>
        <w:tc>
          <w:tcPr>
            <w:tcW w:w="1637" w:type="dxa"/>
            <w:tcBorders>
              <w:top w:val="nil"/>
              <w:left w:val="nil"/>
              <w:bottom w:val="nil"/>
              <w:right w:val="nil"/>
            </w:tcBorders>
            <w:shd w:val="clear" w:color="auto" w:fill="auto"/>
            <w:vAlign w:val="center"/>
          </w:tcPr>
          <w:p w14:paraId="5461BF34"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2</w:t>
            </w:r>
          </w:p>
        </w:tc>
        <w:tc>
          <w:tcPr>
            <w:tcW w:w="1289" w:type="dxa"/>
            <w:tcBorders>
              <w:top w:val="nil"/>
              <w:left w:val="nil"/>
              <w:bottom w:val="nil"/>
              <w:right w:val="nil"/>
            </w:tcBorders>
            <w:shd w:val="clear" w:color="auto" w:fill="auto"/>
            <w:vAlign w:val="center"/>
          </w:tcPr>
          <w:p w14:paraId="44F121A8"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1</w:t>
            </w:r>
          </w:p>
        </w:tc>
        <w:tc>
          <w:tcPr>
            <w:tcW w:w="1563" w:type="dxa"/>
            <w:tcBorders>
              <w:top w:val="nil"/>
              <w:left w:val="nil"/>
              <w:bottom w:val="nil"/>
              <w:right w:val="nil"/>
            </w:tcBorders>
            <w:shd w:val="clear" w:color="auto" w:fill="auto"/>
            <w:vAlign w:val="center"/>
          </w:tcPr>
          <w:p w14:paraId="71A4F5DB"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0</w:t>
            </w:r>
          </w:p>
        </w:tc>
        <w:tc>
          <w:tcPr>
            <w:tcW w:w="987" w:type="dxa"/>
            <w:tcBorders>
              <w:top w:val="nil"/>
              <w:left w:val="nil"/>
              <w:bottom w:val="nil"/>
              <w:right w:val="nil"/>
            </w:tcBorders>
            <w:shd w:val="clear" w:color="auto" w:fill="auto"/>
            <w:vAlign w:val="center"/>
          </w:tcPr>
          <w:p w14:paraId="6078CBDE"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0</w:t>
            </w:r>
          </w:p>
        </w:tc>
        <w:tc>
          <w:tcPr>
            <w:tcW w:w="1140" w:type="dxa"/>
            <w:tcBorders>
              <w:top w:val="nil"/>
              <w:left w:val="nil"/>
              <w:bottom w:val="nil"/>
              <w:right w:val="nil"/>
            </w:tcBorders>
            <w:shd w:val="clear" w:color="auto" w:fill="auto"/>
            <w:vAlign w:val="center"/>
          </w:tcPr>
          <w:p w14:paraId="1531E07D"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1</w:t>
            </w:r>
          </w:p>
        </w:tc>
        <w:tc>
          <w:tcPr>
            <w:tcW w:w="1102" w:type="dxa"/>
            <w:tcBorders>
              <w:top w:val="nil"/>
              <w:left w:val="nil"/>
              <w:bottom w:val="nil"/>
              <w:right w:val="nil"/>
            </w:tcBorders>
            <w:shd w:val="clear" w:color="auto" w:fill="auto"/>
            <w:vAlign w:val="center"/>
          </w:tcPr>
          <w:p w14:paraId="357DD0E9"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4</w:t>
            </w:r>
          </w:p>
        </w:tc>
        <w:tc>
          <w:tcPr>
            <w:tcW w:w="1388" w:type="dxa"/>
            <w:tcBorders>
              <w:top w:val="nil"/>
              <w:left w:val="nil"/>
              <w:bottom w:val="nil"/>
              <w:right w:val="single" w:sz="4" w:space="0" w:color="auto"/>
            </w:tcBorders>
            <w:shd w:val="clear" w:color="auto" w:fill="auto"/>
            <w:vAlign w:val="center"/>
          </w:tcPr>
          <w:p w14:paraId="36C448A5"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85</w:t>
            </w:r>
          </w:p>
        </w:tc>
      </w:tr>
      <w:tr w:rsidR="006A2190" w:rsidRPr="006F02A4" w14:paraId="5B411D70" w14:textId="77777777" w:rsidTr="00480305">
        <w:trPr>
          <w:trHeight w:val="390"/>
        </w:trPr>
        <w:tc>
          <w:tcPr>
            <w:tcW w:w="3152" w:type="dxa"/>
            <w:tcBorders>
              <w:top w:val="nil"/>
              <w:left w:val="single" w:sz="4" w:space="0" w:color="auto"/>
              <w:bottom w:val="nil"/>
              <w:right w:val="nil"/>
            </w:tcBorders>
            <w:shd w:val="clear" w:color="auto" w:fill="auto"/>
            <w:vAlign w:val="center"/>
            <w:hideMark/>
          </w:tcPr>
          <w:p w14:paraId="2D691383" w14:textId="77777777" w:rsidR="006A2190" w:rsidRPr="006F02A4" w:rsidRDefault="006A2190"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New donations</w:t>
            </w:r>
          </w:p>
        </w:tc>
        <w:tc>
          <w:tcPr>
            <w:tcW w:w="1277" w:type="dxa"/>
            <w:tcBorders>
              <w:top w:val="nil"/>
              <w:left w:val="nil"/>
              <w:bottom w:val="nil"/>
              <w:right w:val="nil"/>
            </w:tcBorders>
            <w:shd w:val="clear" w:color="auto" w:fill="auto"/>
            <w:vAlign w:val="center"/>
          </w:tcPr>
          <w:p w14:paraId="331E41FC"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0</w:t>
            </w:r>
          </w:p>
        </w:tc>
        <w:tc>
          <w:tcPr>
            <w:tcW w:w="1301" w:type="dxa"/>
            <w:tcBorders>
              <w:top w:val="nil"/>
              <w:left w:val="nil"/>
              <w:bottom w:val="nil"/>
              <w:right w:val="nil"/>
            </w:tcBorders>
            <w:shd w:val="clear" w:color="auto" w:fill="auto"/>
            <w:vAlign w:val="center"/>
          </w:tcPr>
          <w:p w14:paraId="2AD63FA2"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41</w:t>
            </w:r>
          </w:p>
        </w:tc>
        <w:tc>
          <w:tcPr>
            <w:tcW w:w="1637" w:type="dxa"/>
            <w:tcBorders>
              <w:top w:val="nil"/>
              <w:left w:val="nil"/>
              <w:bottom w:val="nil"/>
              <w:right w:val="nil"/>
            </w:tcBorders>
            <w:shd w:val="clear" w:color="auto" w:fill="auto"/>
            <w:vAlign w:val="center"/>
          </w:tcPr>
          <w:p w14:paraId="7853F095"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9</w:t>
            </w:r>
          </w:p>
        </w:tc>
        <w:tc>
          <w:tcPr>
            <w:tcW w:w="1289" w:type="dxa"/>
            <w:tcBorders>
              <w:top w:val="nil"/>
              <w:left w:val="nil"/>
              <w:bottom w:val="nil"/>
              <w:right w:val="nil"/>
            </w:tcBorders>
            <w:shd w:val="clear" w:color="auto" w:fill="auto"/>
            <w:vAlign w:val="center"/>
          </w:tcPr>
          <w:p w14:paraId="47416FF3"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2</w:t>
            </w:r>
          </w:p>
        </w:tc>
        <w:tc>
          <w:tcPr>
            <w:tcW w:w="1563" w:type="dxa"/>
            <w:tcBorders>
              <w:top w:val="nil"/>
              <w:left w:val="nil"/>
              <w:bottom w:val="nil"/>
              <w:right w:val="nil"/>
            </w:tcBorders>
            <w:shd w:val="clear" w:color="auto" w:fill="auto"/>
            <w:vAlign w:val="center"/>
          </w:tcPr>
          <w:p w14:paraId="3470A5CE"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1</w:t>
            </w:r>
          </w:p>
        </w:tc>
        <w:tc>
          <w:tcPr>
            <w:tcW w:w="987" w:type="dxa"/>
            <w:tcBorders>
              <w:top w:val="nil"/>
              <w:left w:val="nil"/>
              <w:bottom w:val="nil"/>
              <w:right w:val="nil"/>
            </w:tcBorders>
            <w:shd w:val="clear" w:color="auto" w:fill="auto"/>
            <w:vAlign w:val="center"/>
          </w:tcPr>
          <w:p w14:paraId="60959239"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0</w:t>
            </w:r>
          </w:p>
        </w:tc>
        <w:tc>
          <w:tcPr>
            <w:tcW w:w="1140" w:type="dxa"/>
            <w:tcBorders>
              <w:top w:val="nil"/>
              <w:left w:val="nil"/>
              <w:bottom w:val="nil"/>
              <w:right w:val="nil"/>
            </w:tcBorders>
            <w:shd w:val="clear" w:color="auto" w:fill="auto"/>
            <w:vAlign w:val="center"/>
          </w:tcPr>
          <w:p w14:paraId="65176BFF"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3</w:t>
            </w:r>
          </w:p>
        </w:tc>
        <w:tc>
          <w:tcPr>
            <w:tcW w:w="1102" w:type="dxa"/>
            <w:tcBorders>
              <w:top w:val="nil"/>
              <w:left w:val="nil"/>
              <w:bottom w:val="nil"/>
              <w:right w:val="nil"/>
            </w:tcBorders>
            <w:shd w:val="clear" w:color="auto" w:fill="auto"/>
            <w:vAlign w:val="center"/>
          </w:tcPr>
          <w:p w14:paraId="4E9706ED"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24</w:t>
            </w:r>
          </w:p>
        </w:tc>
        <w:tc>
          <w:tcPr>
            <w:tcW w:w="1388" w:type="dxa"/>
            <w:tcBorders>
              <w:top w:val="nil"/>
              <w:left w:val="nil"/>
              <w:bottom w:val="nil"/>
              <w:right w:val="single" w:sz="4" w:space="0" w:color="auto"/>
            </w:tcBorders>
            <w:shd w:val="clear" w:color="auto" w:fill="auto"/>
            <w:vAlign w:val="center"/>
          </w:tcPr>
          <w:p w14:paraId="12F1A484"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80</w:t>
            </w:r>
          </w:p>
        </w:tc>
      </w:tr>
      <w:tr w:rsidR="006A2190" w:rsidRPr="006F02A4" w14:paraId="57657E94" w14:textId="77777777" w:rsidTr="00480305">
        <w:trPr>
          <w:trHeight w:val="390"/>
        </w:trPr>
        <w:tc>
          <w:tcPr>
            <w:tcW w:w="3152" w:type="dxa"/>
            <w:tcBorders>
              <w:top w:val="nil"/>
              <w:left w:val="single" w:sz="4" w:space="0" w:color="auto"/>
              <w:bottom w:val="nil"/>
              <w:right w:val="nil"/>
            </w:tcBorders>
            <w:shd w:val="clear" w:color="auto" w:fill="auto"/>
            <w:vAlign w:val="center"/>
            <w:hideMark/>
          </w:tcPr>
          <w:p w14:paraId="6C134872" w14:textId="77777777" w:rsidR="006A2190" w:rsidRPr="006F02A4" w:rsidRDefault="006A2190"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New government capital grants</w:t>
            </w:r>
          </w:p>
        </w:tc>
        <w:tc>
          <w:tcPr>
            <w:tcW w:w="1277" w:type="dxa"/>
            <w:tcBorders>
              <w:top w:val="nil"/>
              <w:left w:val="nil"/>
              <w:bottom w:val="nil"/>
              <w:right w:val="nil"/>
            </w:tcBorders>
            <w:shd w:val="clear" w:color="auto" w:fill="auto"/>
            <w:vAlign w:val="center"/>
          </w:tcPr>
          <w:p w14:paraId="3ACF39CC"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5</w:t>
            </w:r>
          </w:p>
        </w:tc>
        <w:tc>
          <w:tcPr>
            <w:tcW w:w="1301" w:type="dxa"/>
            <w:tcBorders>
              <w:top w:val="nil"/>
              <w:left w:val="nil"/>
              <w:bottom w:val="nil"/>
              <w:right w:val="nil"/>
            </w:tcBorders>
            <w:shd w:val="clear" w:color="auto" w:fill="auto"/>
            <w:vAlign w:val="center"/>
          </w:tcPr>
          <w:p w14:paraId="3AE90EAB"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82</w:t>
            </w:r>
          </w:p>
        </w:tc>
        <w:tc>
          <w:tcPr>
            <w:tcW w:w="1637" w:type="dxa"/>
            <w:tcBorders>
              <w:top w:val="nil"/>
              <w:left w:val="nil"/>
              <w:bottom w:val="nil"/>
              <w:right w:val="nil"/>
            </w:tcBorders>
            <w:shd w:val="clear" w:color="auto" w:fill="auto"/>
            <w:vAlign w:val="center"/>
          </w:tcPr>
          <w:p w14:paraId="19E47B82"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16</w:t>
            </w:r>
          </w:p>
        </w:tc>
        <w:tc>
          <w:tcPr>
            <w:tcW w:w="1289" w:type="dxa"/>
            <w:tcBorders>
              <w:top w:val="nil"/>
              <w:left w:val="nil"/>
              <w:bottom w:val="nil"/>
              <w:right w:val="nil"/>
            </w:tcBorders>
            <w:shd w:val="clear" w:color="auto" w:fill="auto"/>
            <w:vAlign w:val="center"/>
          </w:tcPr>
          <w:p w14:paraId="6D62E558"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82</w:t>
            </w:r>
          </w:p>
        </w:tc>
        <w:tc>
          <w:tcPr>
            <w:tcW w:w="1563" w:type="dxa"/>
            <w:tcBorders>
              <w:top w:val="nil"/>
              <w:left w:val="nil"/>
              <w:bottom w:val="nil"/>
              <w:right w:val="nil"/>
            </w:tcBorders>
            <w:shd w:val="clear" w:color="auto" w:fill="auto"/>
            <w:vAlign w:val="center"/>
          </w:tcPr>
          <w:p w14:paraId="060546E0"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40</w:t>
            </w:r>
          </w:p>
        </w:tc>
        <w:tc>
          <w:tcPr>
            <w:tcW w:w="987" w:type="dxa"/>
            <w:tcBorders>
              <w:top w:val="nil"/>
              <w:left w:val="nil"/>
              <w:bottom w:val="nil"/>
              <w:right w:val="nil"/>
            </w:tcBorders>
            <w:shd w:val="clear" w:color="auto" w:fill="auto"/>
            <w:vAlign w:val="center"/>
          </w:tcPr>
          <w:p w14:paraId="137CB40D"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11</w:t>
            </w:r>
          </w:p>
        </w:tc>
        <w:tc>
          <w:tcPr>
            <w:tcW w:w="1140" w:type="dxa"/>
            <w:tcBorders>
              <w:top w:val="nil"/>
              <w:left w:val="nil"/>
              <w:bottom w:val="nil"/>
              <w:right w:val="nil"/>
            </w:tcBorders>
            <w:shd w:val="clear" w:color="auto" w:fill="auto"/>
            <w:vAlign w:val="center"/>
          </w:tcPr>
          <w:p w14:paraId="321424CD"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21</w:t>
            </w:r>
          </w:p>
        </w:tc>
        <w:tc>
          <w:tcPr>
            <w:tcW w:w="1102" w:type="dxa"/>
            <w:tcBorders>
              <w:top w:val="nil"/>
              <w:left w:val="nil"/>
              <w:bottom w:val="nil"/>
              <w:right w:val="nil"/>
            </w:tcBorders>
            <w:shd w:val="clear" w:color="auto" w:fill="auto"/>
            <w:vAlign w:val="center"/>
          </w:tcPr>
          <w:p w14:paraId="49D48A4A"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14</w:t>
            </w:r>
          </w:p>
        </w:tc>
        <w:tc>
          <w:tcPr>
            <w:tcW w:w="1388" w:type="dxa"/>
            <w:tcBorders>
              <w:top w:val="nil"/>
              <w:left w:val="nil"/>
              <w:bottom w:val="nil"/>
              <w:right w:val="single" w:sz="4" w:space="0" w:color="auto"/>
            </w:tcBorders>
            <w:shd w:val="clear" w:color="auto" w:fill="auto"/>
            <w:vAlign w:val="center"/>
          </w:tcPr>
          <w:p w14:paraId="79CA0D19"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273</w:t>
            </w:r>
          </w:p>
        </w:tc>
      </w:tr>
      <w:tr w:rsidR="006A2190" w:rsidRPr="006F02A4" w14:paraId="0C4426DF" w14:textId="77777777" w:rsidTr="00480305">
        <w:trPr>
          <w:trHeight w:val="390"/>
        </w:trPr>
        <w:tc>
          <w:tcPr>
            <w:tcW w:w="3152" w:type="dxa"/>
            <w:tcBorders>
              <w:top w:val="nil"/>
              <w:left w:val="single" w:sz="4" w:space="0" w:color="auto"/>
              <w:bottom w:val="nil"/>
              <w:right w:val="nil"/>
            </w:tcBorders>
            <w:shd w:val="clear" w:color="auto" w:fill="auto"/>
            <w:vAlign w:val="center"/>
            <w:hideMark/>
          </w:tcPr>
          <w:p w14:paraId="6BB5CF67" w14:textId="77777777" w:rsidR="006A2190" w:rsidRPr="006F02A4" w:rsidRDefault="006A2190"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New non-government capital grants</w:t>
            </w:r>
          </w:p>
        </w:tc>
        <w:tc>
          <w:tcPr>
            <w:tcW w:w="1277" w:type="dxa"/>
            <w:tcBorders>
              <w:top w:val="nil"/>
              <w:left w:val="nil"/>
              <w:bottom w:val="nil"/>
              <w:right w:val="nil"/>
            </w:tcBorders>
            <w:shd w:val="clear" w:color="auto" w:fill="auto"/>
            <w:vAlign w:val="center"/>
          </w:tcPr>
          <w:p w14:paraId="38E281E1"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0</w:t>
            </w:r>
          </w:p>
        </w:tc>
        <w:tc>
          <w:tcPr>
            <w:tcW w:w="1301" w:type="dxa"/>
            <w:tcBorders>
              <w:top w:val="nil"/>
              <w:left w:val="nil"/>
              <w:bottom w:val="nil"/>
              <w:right w:val="nil"/>
            </w:tcBorders>
            <w:shd w:val="clear" w:color="auto" w:fill="auto"/>
            <w:vAlign w:val="center"/>
          </w:tcPr>
          <w:p w14:paraId="649D5819"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3</w:t>
            </w:r>
          </w:p>
        </w:tc>
        <w:tc>
          <w:tcPr>
            <w:tcW w:w="1637" w:type="dxa"/>
            <w:tcBorders>
              <w:top w:val="nil"/>
              <w:left w:val="nil"/>
              <w:bottom w:val="nil"/>
              <w:right w:val="nil"/>
            </w:tcBorders>
            <w:shd w:val="clear" w:color="auto" w:fill="auto"/>
            <w:vAlign w:val="center"/>
          </w:tcPr>
          <w:p w14:paraId="03499C3D"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3</w:t>
            </w:r>
          </w:p>
        </w:tc>
        <w:tc>
          <w:tcPr>
            <w:tcW w:w="1289" w:type="dxa"/>
            <w:tcBorders>
              <w:top w:val="nil"/>
              <w:left w:val="nil"/>
              <w:bottom w:val="nil"/>
              <w:right w:val="nil"/>
            </w:tcBorders>
            <w:shd w:val="clear" w:color="auto" w:fill="auto"/>
            <w:vAlign w:val="center"/>
          </w:tcPr>
          <w:p w14:paraId="39FB8BE1"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16</w:t>
            </w:r>
          </w:p>
        </w:tc>
        <w:tc>
          <w:tcPr>
            <w:tcW w:w="1563" w:type="dxa"/>
            <w:tcBorders>
              <w:top w:val="nil"/>
              <w:left w:val="nil"/>
              <w:bottom w:val="nil"/>
              <w:right w:val="nil"/>
            </w:tcBorders>
            <w:shd w:val="clear" w:color="auto" w:fill="auto"/>
            <w:vAlign w:val="center"/>
          </w:tcPr>
          <w:p w14:paraId="023207AB"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3</w:t>
            </w:r>
          </w:p>
        </w:tc>
        <w:tc>
          <w:tcPr>
            <w:tcW w:w="987" w:type="dxa"/>
            <w:tcBorders>
              <w:top w:val="nil"/>
              <w:left w:val="nil"/>
              <w:bottom w:val="nil"/>
              <w:right w:val="nil"/>
            </w:tcBorders>
            <w:shd w:val="clear" w:color="auto" w:fill="auto"/>
            <w:vAlign w:val="center"/>
          </w:tcPr>
          <w:p w14:paraId="545CD5D4"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3</w:t>
            </w:r>
          </w:p>
        </w:tc>
        <w:tc>
          <w:tcPr>
            <w:tcW w:w="1140" w:type="dxa"/>
            <w:tcBorders>
              <w:top w:val="nil"/>
              <w:left w:val="nil"/>
              <w:bottom w:val="nil"/>
              <w:right w:val="nil"/>
            </w:tcBorders>
            <w:shd w:val="clear" w:color="auto" w:fill="auto"/>
            <w:vAlign w:val="center"/>
          </w:tcPr>
          <w:p w14:paraId="08841464"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12</w:t>
            </w:r>
          </w:p>
        </w:tc>
        <w:tc>
          <w:tcPr>
            <w:tcW w:w="1102" w:type="dxa"/>
            <w:tcBorders>
              <w:top w:val="nil"/>
              <w:left w:val="nil"/>
              <w:bottom w:val="nil"/>
              <w:right w:val="nil"/>
            </w:tcBorders>
            <w:shd w:val="clear" w:color="auto" w:fill="auto"/>
            <w:vAlign w:val="center"/>
          </w:tcPr>
          <w:p w14:paraId="4E0EF9CC"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6</w:t>
            </w:r>
          </w:p>
        </w:tc>
        <w:tc>
          <w:tcPr>
            <w:tcW w:w="1388" w:type="dxa"/>
            <w:tcBorders>
              <w:top w:val="nil"/>
              <w:left w:val="nil"/>
              <w:bottom w:val="nil"/>
              <w:right w:val="single" w:sz="4" w:space="0" w:color="auto"/>
            </w:tcBorders>
            <w:shd w:val="clear" w:color="auto" w:fill="auto"/>
            <w:vAlign w:val="center"/>
          </w:tcPr>
          <w:p w14:paraId="2F91ED2A"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46</w:t>
            </w:r>
          </w:p>
        </w:tc>
      </w:tr>
      <w:tr w:rsidR="006A2190" w:rsidRPr="006F02A4" w14:paraId="47BEC004" w14:textId="77777777" w:rsidTr="00480305">
        <w:trPr>
          <w:trHeight w:val="390"/>
        </w:trPr>
        <w:tc>
          <w:tcPr>
            <w:tcW w:w="3152" w:type="dxa"/>
            <w:tcBorders>
              <w:top w:val="nil"/>
              <w:left w:val="single" w:sz="4" w:space="0" w:color="auto"/>
              <w:bottom w:val="single" w:sz="4" w:space="0" w:color="auto"/>
              <w:right w:val="nil"/>
            </w:tcBorders>
            <w:shd w:val="clear" w:color="auto" w:fill="auto"/>
            <w:vAlign w:val="center"/>
            <w:hideMark/>
          </w:tcPr>
          <w:p w14:paraId="2D93FED9" w14:textId="77777777" w:rsidR="006A2190" w:rsidRPr="006F02A4" w:rsidRDefault="006A2190"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Other material items</w:t>
            </w:r>
          </w:p>
        </w:tc>
        <w:tc>
          <w:tcPr>
            <w:tcW w:w="1277" w:type="dxa"/>
            <w:tcBorders>
              <w:top w:val="nil"/>
              <w:left w:val="nil"/>
              <w:bottom w:val="single" w:sz="4" w:space="0" w:color="auto"/>
              <w:right w:val="nil"/>
            </w:tcBorders>
            <w:shd w:val="clear" w:color="auto" w:fill="auto"/>
            <w:vAlign w:val="center"/>
          </w:tcPr>
          <w:p w14:paraId="21A48966"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0</w:t>
            </w:r>
          </w:p>
        </w:tc>
        <w:tc>
          <w:tcPr>
            <w:tcW w:w="1301" w:type="dxa"/>
            <w:tcBorders>
              <w:top w:val="nil"/>
              <w:left w:val="nil"/>
              <w:bottom w:val="single" w:sz="4" w:space="0" w:color="auto"/>
              <w:right w:val="nil"/>
            </w:tcBorders>
            <w:shd w:val="clear" w:color="auto" w:fill="auto"/>
            <w:vAlign w:val="center"/>
          </w:tcPr>
          <w:p w14:paraId="4037DB3B"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2</w:t>
            </w:r>
          </w:p>
        </w:tc>
        <w:tc>
          <w:tcPr>
            <w:tcW w:w="1637" w:type="dxa"/>
            <w:tcBorders>
              <w:top w:val="nil"/>
              <w:left w:val="nil"/>
              <w:bottom w:val="single" w:sz="4" w:space="0" w:color="auto"/>
              <w:right w:val="nil"/>
            </w:tcBorders>
            <w:shd w:val="clear" w:color="auto" w:fill="auto"/>
            <w:vAlign w:val="center"/>
          </w:tcPr>
          <w:p w14:paraId="39E243B8" w14:textId="40192509"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0</w:t>
            </w:r>
          </w:p>
        </w:tc>
        <w:tc>
          <w:tcPr>
            <w:tcW w:w="1289" w:type="dxa"/>
            <w:tcBorders>
              <w:top w:val="nil"/>
              <w:left w:val="nil"/>
              <w:bottom w:val="single" w:sz="4" w:space="0" w:color="auto"/>
              <w:right w:val="nil"/>
            </w:tcBorders>
            <w:shd w:val="clear" w:color="auto" w:fill="auto"/>
            <w:vAlign w:val="center"/>
          </w:tcPr>
          <w:p w14:paraId="384CC927"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0</w:t>
            </w:r>
          </w:p>
        </w:tc>
        <w:tc>
          <w:tcPr>
            <w:tcW w:w="1563" w:type="dxa"/>
            <w:tcBorders>
              <w:top w:val="nil"/>
              <w:left w:val="nil"/>
              <w:bottom w:val="single" w:sz="4" w:space="0" w:color="auto"/>
              <w:right w:val="nil"/>
            </w:tcBorders>
            <w:shd w:val="clear" w:color="auto" w:fill="auto"/>
            <w:vAlign w:val="center"/>
          </w:tcPr>
          <w:p w14:paraId="74CDB8CD"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0</w:t>
            </w:r>
          </w:p>
        </w:tc>
        <w:tc>
          <w:tcPr>
            <w:tcW w:w="987" w:type="dxa"/>
            <w:tcBorders>
              <w:top w:val="nil"/>
              <w:left w:val="nil"/>
              <w:bottom w:val="single" w:sz="4" w:space="0" w:color="auto"/>
              <w:right w:val="nil"/>
            </w:tcBorders>
            <w:shd w:val="clear" w:color="auto" w:fill="auto"/>
            <w:vAlign w:val="center"/>
          </w:tcPr>
          <w:p w14:paraId="1337964C"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0</w:t>
            </w:r>
          </w:p>
        </w:tc>
        <w:tc>
          <w:tcPr>
            <w:tcW w:w="1140" w:type="dxa"/>
            <w:tcBorders>
              <w:top w:val="nil"/>
              <w:left w:val="nil"/>
              <w:bottom w:val="single" w:sz="4" w:space="0" w:color="auto"/>
              <w:right w:val="nil"/>
            </w:tcBorders>
            <w:shd w:val="clear" w:color="auto" w:fill="auto"/>
            <w:vAlign w:val="center"/>
          </w:tcPr>
          <w:p w14:paraId="568DA4F8" w14:textId="0B1C895D"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0</w:t>
            </w:r>
          </w:p>
        </w:tc>
        <w:tc>
          <w:tcPr>
            <w:tcW w:w="1102" w:type="dxa"/>
            <w:tcBorders>
              <w:top w:val="nil"/>
              <w:left w:val="nil"/>
              <w:bottom w:val="single" w:sz="4" w:space="0" w:color="auto"/>
              <w:right w:val="nil"/>
            </w:tcBorders>
            <w:shd w:val="clear" w:color="auto" w:fill="auto"/>
            <w:vAlign w:val="center"/>
          </w:tcPr>
          <w:p w14:paraId="12FEA340" w14:textId="694366DB"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0</w:t>
            </w:r>
          </w:p>
        </w:tc>
        <w:tc>
          <w:tcPr>
            <w:tcW w:w="1388" w:type="dxa"/>
            <w:tcBorders>
              <w:top w:val="nil"/>
              <w:left w:val="nil"/>
              <w:bottom w:val="single" w:sz="4" w:space="0" w:color="auto"/>
              <w:right w:val="single" w:sz="4" w:space="0" w:color="auto"/>
            </w:tcBorders>
            <w:shd w:val="clear" w:color="auto" w:fill="auto"/>
            <w:vAlign w:val="center"/>
          </w:tcPr>
          <w:p w14:paraId="4DC989F8"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2</w:t>
            </w:r>
          </w:p>
        </w:tc>
      </w:tr>
      <w:tr w:rsidR="006A2190" w:rsidRPr="006F02A4" w14:paraId="1051E9BD" w14:textId="77777777" w:rsidTr="00480305">
        <w:trPr>
          <w:trHeight w:val="390"/>
        </w:trPr>
        <w:tc>
          <w:tcPr>
            <w:tcW w:w="3152" w:type="dxa"/>
            <w:tcBorders>
              <w:top w:val="nil"/>
              <w:left w:val="single" w:sz="4" w:space="0" w:color="auto"/>
              <w:bottom w:val="single" w:sz="4" w:space="0" w:color="auto"/>
              <w:right w:val="nil"/>
            </w:tcBorders>
            <w:shd w:val="clear" w:color="auto" w:fill="auto"/>
            <w:vAlign w:val="center"/>
            <w:hideMark/>
          </w:tcPr>
          <w:p w14:paraId="7BD939E2" w14:textId="77777777" w:rsidR="006A2190" w:rsidRPr="006F02A4" w:rsidRDefault="006A2190"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Total income items</w:t>
            </w:r>
          </w:p>
        </w:tc>
        <w:tc>
          <w:tcPr>
            <w:tcW w:w="1277" w:type="dxa"/>
            <w:tcBorders>
              <w:top w:val="nil"/>
              <w:left w:val="nil"/>
              <w:bottom w:val="single" w:sz="4" w:space="0" w:color="auto"/>
              <w:right w:val="nil"/>
            </w:tcBorders>
            <w:shd w:val="clear" w:color="auto" w:fill="auto"/>
            <w:vAlign w:val="center"/>
          </w:tcPr>
          <w:p w14:paraId="578E8A89"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5</w:t>
            </w:r>
          </w:p>
        </w:tc>
        <w:tc>
          <w:tcPr>
            <w:tcW w:w="1301" w:type="dxa"/>
            <w:tcBorders>
              <w:top w:val="nil"/>
              <w:left w:val="nil"/>
              <w:bottom w:val="single" w:sz="4" w:space="0" w:color="auto"/>
              <w:right w:val="nil"/>
            </w:tcBorders>
            <w:shd w:val="clear" w:color="auto" w:fill="auto"/>
            <w:vAlign w:val="center"/>
          </w:tcPr>
          <w:p w14:paraId="1265984B"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206</w:t>
            </w:r>
          </w:p>
        </w:tc>
        <w:tc>
          <w:tcPr>
            <w:tcW w:w="1637" w:type="dxa"/>
            <w:tcBorders>
              <w:top w:val="nil"/>
              <w:left w:val="nil"/>
              <w:bottom w:val="single" w:sz="4" w:space="0" w:color="auto"/>
              <w:right w:val="nil"/>
            </w:tcBorders>
            <w:shd w:val="clear" w:color="auto" w:fill="auto"/>
            <w:vAlign w:val="center"/>
          </w:tcPr>
          <w:p w14:paraId="5E9025A6"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30</w:t>
            </w:r>
          </w:p>
        </w:tc>
        <w:tc>
          <w:tcPr>
            <w:tcW w:w="1289" w:type="dxa"/>
            <w:tcBorders>
              <w:top w:val="nil"/>
              <w:left w:val="nil"/>
              <w:bottom w:val="single" w:sz="4" w:space="0" w:color="auto"/>
              <w:right w:val="nil"/>
            </w:tcBorders>
            <w:shd w:val="clear" w:color="auto" w:fill="auto"/>
            <w:vAlign w:val="center"/>
          </w:tcPr>
          <w:p w14:paraId="5B01382E"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100</w:t>
            </w:r>
          </w:p>
        </w:tc>
        <w:tc>
          <w:tcPr>
            <w:tcW w:w="1563" w:type="dxa"/>
            <w:tcBorders>
              <w:top w:val="nil"/>
              <w:left w:val="nil"/>
              <w:bottom w:val="single" w:sz="4" w:space="0" w:color="auto"/>
              <w:right w:val="nil"/>
            </w:tcBorders>
            <w:shd w:val="clear" w:color="auto" w:fill="auto"/>
            <w:vAlign w:val="center"/>
          </w:tcPr>
          <w:p w14:paraId="58D5259C"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45</w:t>
            </w:r>
          </w:p>
        </w:tc>
        <w:tc>
          <w:tcPr>
            <w:tcW w:w="987" w:type="dxa"/>
            <w:tcBorders>
              <w:top w:val="nil"/>
              <w:left w:val="nil"/>
              <w:bottom w:val="single" w:sz="4" w:space="0" w:color="auto"/>
              <w:right w:val="nil"/>
            </w:tcBorders>
            <w:shd w:val="clear" w:color="auto" w:fill="auto"/>
            <w:vAlign w:val="center"/>
          </w:tcPr>
          <w:p w14:paraId="0410B6E7"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15</w:t>
            </w:r>
          </w:p>
        </w:tc>
        <w:tc>
          <w:tcPr>
            <w:tcW w:w="1140" w:type="dxa"/>
            <w:tcBorders>
              <w:top w:val="nil"/>
              <w:left w:val="nil"/>
              <w:bottom w:val="single" w:sz="4" w:space="0" w:color="auto"/>
              <w:right w:val="nil"/>
            </w:tcBorders>
            <w:shd w:val="clear" w:color="auto" w:fill="auto"/>
            <w:vAlign w:val="center"/>
          </w:tcPr>
          <w:p w14:paraId="10457E9B"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36</w:t>
            </w:r>
          </w:p>
        </w:tc>
        <w:tc>
          <w:tcPr>
            <w:tcW w:w="1102" w:type="dxa"/>
            <w:tcBorders>
              <w:top w:val="nil"/>
              <w:left w:val="nil"/>
              <w:bottom w:val="single" w:sz="4" w:space="0" w:color="auto"/>
              <w:right w:val="nil"/>
            </w:tcBorders>
            <w:shd w:val="clear" w:color="auto" w:fill="auto"/>
            <w:vAlign w:val="center"/>
          </w:tcPr>
          <w:p w14:paraId="5516CD1C"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48</w:t>
            </w:r>
          </w:p>
        </w:tc>
        <w:tc>
          <w:tcPr>
            <w:tcW w:w="1388" w:type="dxa"/>
            <w:tcBorders>
              <w:top w:val="nil"/>
              <w:left w:val="nil"/>
              <w:bottom w:val="single" w:sz="4" w:space="0" w:color="auto"/>
              <w:right w:val="single" w:sz="4" w:space="0" w:color="auto"/>
            </w:tcBorders>
            <w:shd w:val="clear" w:color="auto" w:fill="auto"/>
            <w:vAlign w:val="center"/>
          </w:tcPr>
          <w:p w14:paraId="66C78BFA"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486</w:t>
            </w:r>
          </w:p>
        </w:tc>
      </w:tr>
      <w:tr w:rsidR="006A2190" w:rsidRPr="006F02A4" w14:paraId="610B5D85" w14:textId="77777777" w:rsidTr="00480305">
        <w:trPr>
          <w:trHeight w:val="390"/>
        </w:trPr>
        <w:tc>
          <w:tcPr>
            <w:tcW w:w="3152" w:type="dxa"/>
            <w:tcBorders>
              <w:top w:val="nil"/>
              <w:left w:val="single" w:sz="4" w:space="0" w:color="auto"/>
              <w:bottom w:val="single" w:sz="4" w:space="0" w:color="auto"/>
              <w:right w:val="nil"/>
            </w:tcBorders>
            <w:shd w:val="clear" w:color="auto" w:fill="auto"/>
            <w:vAlign w:val="center"/>
            <w:hideMark/>
          </w:tcPr>
          <w:p w14:paraId="3180AB10" w14:textId="77777777" w:rsidR="006A2190" w:rsidRPr="006F02A4" w:rsidRDefault="006A2190"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Total as % of income</w:t>
            </w:r>
          </w:p>
        </w:tc>
        <w:tc>
          <w:tcPr>
            <w:tcW w:w="1277" w:type="dxa"/>
            <w:tcBorders>
              <w:top w:val="nil"/>
              <w:left w:val="nil"/>
              <w:bottom w:val="single" w:sz="4" w:space="0" w:color="auto"/>
              <w:right w:val="nil"/>
            </w:tcBorders>
            <w:shd w:val="clear" w:color="auto" w:fill="auto"/>
            <w:vAlign w:val="center"/>
          </w:tcPr>
          <w:p w14:paraId="302F4F84"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0.2%</w:t>
            </w:r>
          </w:p>
        </w:tc>
        <w:tc>
          <w:tcPr>
            <w:tcW w:w="1301" w:type="dxa"/>
            <w:tcBorders>
              <w:top w:val="nil"/>
              <w:left w:val="nil"/>
              <w:bottom w:val="single" w:sz="4" w:space="0" w:color="auto"/>
              <w:right w:val="nil"/>
            </w:tcBorders>
            <w:shd w:val="clear" w:color="auto" w:fill="auto"/>
            <w:vAlign w:val="center"/>
          </w:tcPr>
          <w:p w14:paraId="220A5877"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44.6%</w:t>
            </w:r>
          </w:p>
        </w:tc>
        <w:tc>
          <w:tcPr>
            <w:tcW w:w="1637" w:type="dxa"/>
            <w:tcBorders>
              <w:top w:val="nil"/>
              <w:left w:val="nil"/>
              <w:bottom w:val="single" w:sz="4" w:space="0" w:color="auto"/>
              <w:right w:val="nil"/>
            </w:tcBorders>
            <w:shd w:val="clear" w:color="auto" w:fill="auto"/>
            <w:vAlign w:val="center"/>
          </w:tcPr>
          <w:p w14:paraId="01F09B16"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2.4%</w:t>
            </w:r>
          </w:p>
        </w:tc>
        <w:tc>
          <w:tcPr>
            <w:tcW w:w="1289" w:type="dxa"/>
            <w:tcBorders>
              <w:top w:val="nil"/>
              <w:left w:val="nil"/>
              <w:bottom w:val="single" w:sz="4" w:space="0" w:color="auto"/>
              <w:right w:val="nil"/>
            </w:tcBorders>
            <w:shd w:val="clear" w:color="auto" w:fill="auto"/>
            <w:vAlign w:val="center"/>
          </w:tcPr>
          <w:p w14:paraId="067A43E8"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4.6%</w:t>
            </w:r>
          </w:p>
        </w:tc>
        <w:tc>
          <w:tcPr>
            <w:tcW w:w="1563" w:type="dxa"/>
            <w:tcBorders>
              <w:top w:val="nil"/>
              <w:left w:val="nil"/>
              <w:bottom w:val="single" w:sz="4" w:space="0" w:color="auto"/>
              <w:right w:val="nil"/>
            </w:tcBorders>
            <w:shd w:val="clear" w:color="auto" w:fill="auto"/>
            <w:vAlign w:val="center"/>
          </w:tcPr>
          <w:p w14:paraId="1B8BD581"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3.8%</w:t>
            </w:r>
          </w:p>
        </w:tc>
        <w:tc>
          <w:tcPr>
            <w:tcW w:w="987" w:type="dxa"/>
            <w:tcBorders>
              <w:top w:val="nil"/>
              <w:left w:val="nil"/>
              <w:bottom w:val="single" w:sz="4" w:space="0" w:color="auto"/>
              <w:right w:val="nil"/>
            </w:tcBorders>
            <w:shd w:val="clear" w:color="auto" w:fill="auto"/>
            <w:vAlign w:val="center"/>
          </w:tcPr>
          <w:p w14:paraId="5E8A8580"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2.0%</w:t>
            </w:r>
          </w:p>
        </w:tc>
        <w:tc>
          <w:tcPr>
            <w:tcW w:w="1140" w:type="dxa"/>
            <w:tcBorders>
              <w:top w:val="nil"/>
              <w:left w:val="nil"/>
              <w:bottom w:val="single" w:sz="4" w:space="0" w:color="auto"/>
              <w:right w:val="nil"/>
            </w:tcBorders>
            <w:shd w:val="clear" w:color="auto" w:fill="auto"/>
            <w:vAlign w:val="center"/>
          </w:tcPr>
          <w:p w14:paraId="033073AE"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2.9%</w:t>
            </w:r>
          </w:p>
        </w:tc>
        <w:tc>
          <w:tcPr>
            <w:tcW w:w="1102" w:type="dxa"/>
            <w:tcBorders>
              <w:top w:val="nil"/>
              <w:left w:val="nil"/>
              <w:bottom w:val="single" w:sz="4" w:space="0" w:color="auto"/>
              <w:right w:val="nil"/>
            </w:tcBorders>
            <w:shd w:val="clear" w:color="auto" w:fill="auto"/>
            <w:vAlign w:val="center"/>
          </w:tcPr>
          <w:p w14:paraId="74D292DB"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3.8%</w:t>
            </w:r>
          </w:p>
        </w:tc>
        <w:tc>
          <w:tcPr>
            <w:tcW w:w="1388" w:type="dxa"/>
            <w:tcBorders>
              <w:top w:val="nil"/>
              <w:left w:val="nil"/>
              <w:bottom w:val="single" w:sz="4" w:space="0" w:color="auto"/>
              <w:right w:val="single" w:sz="4" w:space="0" w:color="auto"/>
            </w:tcBorders>
            <w:shd w:val="clear" w:color="auto" w:fill="auto"/>
            <w:vAlign w:val="center"/>
          </w:tcPr>
          <w:p w14:paraId="4D58C1B0"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4.6%</w:t>
            </w:r>
          </w:p>
        </w:tc>
      </w:tr>
      <w:tr w:rsidR="006A2190" w:rsidRPr="006F02A4" w14:paraId="519374F7" w14:textId="77777777" w:rsidTr="00480305">
        <w:trPr>
          <w:trHeight w:val="390"/>
        </w:trPr>
        <w:tc>
          <w:tcPr>
            <w:tcW w:w="3152" w:type="dxa"/>
            <w:tcBorders>
              <w:top w:val="nil"/>
              <w:left w:val="single" w:sz="4" w:space="0" w:color="auto"/>
              <w:bottom w:val="single" w:sz="4" w:space="0" w:color="auto"/>
              <w:right w:val="nil"/>
            </w:tcBorders>
            <w:shd w:val="clear" w:color="auto" w:fill="auto"/>
            <w:vAlign w:val="center"/>
            <w:hideMark/>
          </w:tcPr>
          <w:p w14:paraId="0C0F9654" w14:textId="19522E70" w:rsidR="006A2190" w:rsidRPr="006F02A4" w:rsidRDefault="006A2190"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 xml:space="preserve">Total as % </w:t>
            </w:r>
            <w:r w:rsidR="00D22D87" w:rsidRPr="006F02A4">
              <w:rPr>
                <w:rFonts w:ascii="Arial" w:eastAsia="Times New Roman" w:hAnsi="Arial" w:cs="Arial"/>
                <w:lang w:eastAsia="en-GB"/>
              </w:rPr>
              <w:t xml:space="preserve">of </w:t>
            </w:r>
            <w:r w:rsidRPr="006F02A4">
              <w:rPr>
                <w:rFonts w:ascii="Arial" w:eastAsia="Times New Roman" w:hAnsi="Arial" w:cs="Arial"/>
                <w:lang w:eastAsia="en-GB"/>
              </w:rPr>
              <w:t>income (2018</w:t>
            </w:r>
            <w:r w:rsidR="00D039D8">
              <w:rPr>
                <w:rFonts w:ascii="Arial" w:eastAsia="Times New Roman" w:hAnsi="Arial" w:cs="Arial"/>
                <w:lang w:eastAsia="en-GB"/>
              </w:rPr>
              <w:noBreakHyphen/>
            </w:r>
            <w:r w:rsidRPr="006F02A4">
              <w:rPr>
                <w:rFonts w:ascii="Arial" w:eastAsia="Times New Roman" w:hAnsi="Arial" w:cs="Arial"/>
                <w:lang w:eastAsia="en-GB"/>
              </w:rPr>
              <w:t>19)</w:t>
            </w:r>
          </w:p>
        </w:tc>
        <w:tc>
          <w:tcPr>
            <w:tcW w:w="1277" w:type="dxa"/>
            <w:tcBorders>
              <w:top w:val="nil"/>
              <w:left w:val="nil"/>
              <w:bottom w:val="single" w:sz="4" w:space="0" w:color="auto"/>
              <w:right w:val="nil"/>
            </w:tcBorders>
            <w:shd w:val="clear" w:color="auto" w:fill="auto"/>
            <w:vAlign w:val="center"/>
          </w:tcPr>
          <w:p w14:paraId="4D06D447"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0.4%</w:t>
            </w:r>
          </w:p>
        </w:tc>
        <w:tc>
          <w:tcPr>
            <w:tcW w:w="1301" w:type="dxa"/>
            <w:tcBorders>
              <w:top w:val="nil"/>
              <w:left w:val="nil"/>
              <w:bottom w:val="single" w:sz="4" w:space="0" w:color="auto"/>
              <w:right w:val="nil"/>
            </w:tcBorders>
            <w:shd w:val="clear" w:color="auto" w:fill="auto"/>
            <w:vAlign w:val="center"/>
          </w:tcPr>
          <w:p w14:paraId="1A0A97BD"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44.1%</w:t>
            </w:r>
          </w:p>
        </w:tc>
        <w:tc>
          <w:tcPr>
            <w:tcW w:w="1637" w:type="dxa"/>
            <w:tcBorders>
              <w:top w:val="nil"/>
              <w:left w:val="nil"/>
              <w:bottom w:val="single" w:sz="4" w:space="0" w:color="auto"/>
              <w:right w:val="nil"/>
            </w:tcBorders>
            <w:shd w:val="clear" w:color="auto" w:fill="auto"/>
            <w:vAlign w:val="center"/>
          </w:tcPr>
          <w:p w14:paraId="236BEF60"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10.6%</w:t>
            </w:r>
          </w:p>
        </w:tc>
        <w:tc>
          <w:tcPr>
            <w:tcW w:w="1289" w:type="dxa"/>
            <w:tcBorders>
              <w:top w:val="nil"/>
              <w:left w:val="nil"/>
              <w:bottom w:val="single" w:sz="4" w:space="0" w:color="auto"/>
              <w:right w:val="nil"/>
            </w:tcBorders>
            <w:shd w:val="clear" w:color="auto" w:fill="auto"/>
            <w:vAlign w:val="center"/>
          </w:tcPr>
          <w:p w14:paraId="7ECAF4D0"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4.1%</w:t>
            </w:r>
          </w:p>
        </w:tc>
        <w:tc>
          <w:tcPr>
            <w:tcW w:w="1563" w:type="dxa"/>
            <w:tcBorders>
              <w:top w:val="nil"/>
              <w:left w:val="nil"/>
              <w:bottom w:val="single" w:sz="4" w:space="0" w:color="auto"/>
              <w:right w:val="nil"/>
            </w:tcBorders>
            <w:shd w:val="clear" w:color="auto" w:fill="auto"/>
            <w:vAlign w:val="center"/>
          </w:tcPr>
          <w:p w14:paraId="4B1EBF94"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2.7%</w:t>
            </w:r>
          </w:p>
        </w:tc>
        <w:tc>
          <w:tcPr>
            <w:tcW w:w="987" w:type="dxa"/>
            <w:tcBorders>
              <w:top w:val="nil"/>
              <w:left w:val="nil"/>
              <w:bottom w:val="single" w:sz="4" w:space="0" w:color="auto"/>
              <w:right w:val="nil"/>
            </w:tcBorders>
            <w:shd w:val="clear" w:color="auto" w:fill="auto"/>
            <w:vAlign w:val="center"/>
          </w:tcPr>
          <w:p w14:paraId="75A87FE2"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7.0%</w:t>
            </w:r>
          </w:p>
        </w:tc>
        <w:tc>
          <w:tcPr>
            <w:tcW w:w="1140" w:type="dxa"/>
            <w:tcBorders>
              <w:top w:val="nil"/>
              <w:left w:val="nil"/>
              <w:bottom w:val="single" w:sz="4" w:space="0" w:color="auto"/>
              <w:right w:val="nil"/>
            </w:tcBorders>
            <w:shd w:val="clear" w:color="auto" w:fill="auto"/>
            <w:vAlign w:val="center"/>
          </w:tcPr>
          <w:p w14:paraId="5C3EE940"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3.4%</w:t>
            </w:r>
          </w:p>
        </w:tc>
        <w:tc>
          <w:tcPr>
            <w:tcW w:w="1102" w:type="dxa"/>
            <w:tcBorders>
              <w:top w:val="nil"/>
              <w:left w:val="nil"/>
              <w:bottom w:val="single" w:sz="4" w:space="0" w:color="auto"/>
              <w:right w:val="nil"/>
            </w:tcBorders>
            <w:shd w:val="clear" w:color="auto" w:fill="auto"/>
            <w:vAlign w:val="center"/>
          </w:tcPr>
          <w:p w14:paraId="748728AB"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6.6%</w:t>
            </w:r>
          </w:p>
        </w:tc>
        <w:tc>
          <w:tcPr>
            <w:tcW w:w="1388" w:type="dxa"/>
            <w:tcBorders>
              <w:top w:val="nil"/>
              <w:left w:val="nil"/>
              <w:bottom w:val="single" w:sz="4" w:space="0" w:color="auto"/>
              <w:right w:val="single" w:sz="4" w:space="0" w:color="auto"/>
            </w:tcBorders>
            <w:shd w:val="clear" w:color="auto" w:fill="auto"/>
            <w:vAlign w:val="center"/>
          </w:tcPr>
          <w:p w14:paraId="003021F5" w14:textId="77777777" w:rsidR="006A2190" w:rsidRPr="006F02A4" w:rsidRDefault="006A2190" w:rsidP="00480305">
            <w:pPr>
              <w:spacing w:after="0" w:line="240" w:lineRule="auto"/>
              <w:jc w:val="right"/>
              <w:rPr>
                <w:rFonts w:ascii="Arial" w:eastAsia="Times New Roman" w:hAnsi="Arial" w:cs="Arial"/>
                <w:lang w:eastAsia="en-GB"/>
              </w:rPr>
            </w:pPr>
            <w:r w:rsidRPr="006F02A4">
              <w:rPr>
                <w:rFonts w:ascii="Arial" w:hAnsi="Arial" w:cs="Arial"/>
                <w:color w:val="000000"/>
              </w:rPr>
              <w:t>6.5%</w:t>
            </w:r>
          </w:p>
        </w:tc>
      </w:tr>
    </w:tbl>
    <w:p w14:paraId="7E987E1A" w14:textId="06569EEE" w:rsidR="003D18D2" w:rsidRPr="006F02A4" w:rsidRDefault="003D18D2" w:rsidP="007B1A6E">
      <w:r w:rsidRPr="006F02A4">
        <w:br w:type="page"/>
      </w:r>
    </w:p>
    <w:p w14:paraId="34C697DC" w14:textId="77777777" w:rsidR="00090A16" w:rsidRPr="006F02A4" w:rsidRDefault="00090A16" w:rsidP="00EB3A93">
      <w:pPr>
        <w:pStyle w:val="Heading4"/>
        <w:sectPr w:rsidR="00090A16" w:rsidRPr="006F02A4" w:rsidSect="002B029B">
          <w:pgSz w:w="16838" w:h="11906" w:orient="landscape" w:code="9"/>
          <w:pgMar w:top="1134" w:right="1134" w:bottom="1134" w:left="1134" w:header="454" w:footer="454" w:gutter="0"/>
          <w:cols w:space="708"/>
          <w:titlePg/>
          <w:docGrid w:linePitch="360"/>
        </w:sectPr>
      </w:pPr>
    </w:p>
    <w:p w14:paraId="5879B565" w14:textId="17D72C2E" w:rsidR="00EB3A93" w:rsidRPr="006F02A4" w:rsidRDefault="00EB3A93" w:rsidP="00EB3A93">
      <w:pPr>
        <w:pStyle w:val="Heading4"/>
      </w:pPr>
      <w:r w:rsidRPr="006F02A4">
        <w:lastRenderedPageBreak/>
        <w:t xml:space="preserve">Notes to Table </w:t>
      </w:r>
      <w:r w:rsidR="00883D4F" w:rsidRPr="006F02A4">
        <w:t>5</w:t>
      </w:r>
    </w:p>
    <w:p w14:paraId="5030BCB5" w14:textId="77777777" w:rsidR="00EB3A93" w:rsidRPr="006F02A4" w:rsidRDefault="00EB3A93" w:rsidP="00EB3A93">
      <w:pPr>
        <w:pStyle w:val="ListParagraph"/>
        <w:numPr>
          <w:ilvl w:val="0"/>
          <w:numId w:val="25"/>
        </w:numPr>
        <w:spacing w:after="240" w:line="300" w:lineRule="atLeast"/>
        <w:ind w:left="284" w:hanging="284"/>
        <w:contextualSpacing w:val="0"/>
      </w:pPr>
      <w:r w:rsidRPr="006F02A4">
        <w:t xml:space="preserve">‘European Union’ covers EU government bodies including the Commission. </w:t>
      </w:r>
    </w:p>
    <w:p w14:paraId="78C43D7F" w14:textId="77777777" w:rsidR="00EB3A93" w:rsidRPr="006F02A4" w:rsidRDefault="00EB3A93" w:rsidP="00EB3A93">
      <w:pPr>
        <w:pStyle w:val="ListParagraph"/>
        <w:numPr>
          <w:ilvl w:val="0"/>
          <w:numId w:val="25"/>
        </w:numPr>
        <w:spacing w:after="240" w:line="300" w:lineRule="atLeast"/>
        <w:ind w:left="284" w:hanging="284"/>
        <w:contextualSpacing w:val="0"/>
      </w:pPr>
      <w:r w:rsidRPr="006F02A4">
        <w:t xml:space="preserve">‘Industry’ includes all other organisations such as UK industry, commerce and public corporations, EU non-government organisations (comprising EU-based charities, EU industry and any other EU source), overseas charities, overseas </w:t>
      </w:r>
      <w:proofErr w:type="gramStart"/>
      <w:r w:rsidRPr="006F02A4">
        <w:t>industry</w:t>
      </w:r>
      <w:proofErr w:type="gramEnd"/>
      <w:r w:rsidRPr="006F02A4">
        <w:t xml:space="preserve"> and other sources.</w:t>
      </w:r>
    </w:p>
    <w:p w14:paraId="00433FE0" w14:textId="77777777" w:rsidR="00EB3A93" w:rsidRPr="006F02A4" w:rsidRDefault="00EB3A93" w:rsidP="00DA30B0">
      <w:pPr>
        <w:sectPr w:rsidR="00EB3A93" w:rsidRPr="006F02A4" w:rsidSect="002B029B">
          <w:pgSz w:w="11906" w:h="16838" w:code="9"/>
          <w:pgMar w:top="1134" w:right="1134" w:bottom="1134" w:left="1134" w:header="454" w:footer="454" w:gutter="0"/>
          <w:cols w:space="708"/>
          <w:titlePg/>
          <w:docGrid w:linePitch="360"/>
        </w:sectPr>
      </w:pPr>
    </w:p>
    <w:p w14:paraId="4501BB27" w14:textId="4653B873" w:rsidR="005C5A23" w:rsidRPr="006F02A4" w:rsidRDefault="005C5A23" w:rsidP="001D5691">
      <w:pPr>
        <w:pStyle w:val="Heading3"/>
      </w:pPr>
      <w:bookmarkStart w:id="21" w:name="_Toc78299738"/>
      <w:r w:rsidRPr="006F02A4">
        <w:lastRenderedPageBreak/>
        <w:t xml:space="preserve">Table </w:t>
      </w:r>
      <w:r w:rsidR="00883D4F" w:rsidRPr="006F02A4">
        <w:t>6</w:t>
      </w:r>
      <w:r w:rsidRPr="006F02A4">
        <w:t xml:space="preserve">: Derivation of Transparent Approach to Costing </w:t>
      </w:r>
      <w:r w:rsidR="001D5691" w:rsidRPr="006F02A4">
        <w:t>(</w:t>
      </w:r>
      <w:r w:rsidRPr="006F02A4">
        <w:t>TRAC</w:t>
      </w:r>
      <w:r w:rsidR="001D5691" w:rsidRPr="006F02A4">
        <w:t>)</w:t>
      </w:r>
      <w:r w:rsidRPr="006F02A4">
        <w:t xml:space="preserve"> full economic costs and </w:t>
      </w:r>
      <w:r w:rsidR="007B47E8" w:rsidRPr="006F02A4">
        <w:t>TRAC surplus/(deficit)</w:t>
      </w:r>
      <w:r w:rsidR="00D16E4D" w:rsidRPr="006F02A4">
        <w:t>, 2019-20</w:t>
      </w:r>
      <w:r w:rsidR="007B47E8" w:rsidRPr="006F02A4">
        <w:t xml:space="preserve"> </w:t>
      </w:r>
      <w:r w:rsidRPr="006F02A4">
        <w:t xml:space="preserve">(UK </w:t>
      </w:r>
      <w:r w:rsidR="00055CAA" w:rsidRPr="006F02A4">
        <w:t>higher education institutions</w:t>
      </w:r>
      <w:r w:rsidRPr="006F02A4">
        <w:t>)</w:t>
      </w:r>
      <w:bookmarkEnd w:id="21"/>
    </w:p>
    <w:tbl>
      <w:tblPr>
        <w:tblW w:w="9634" w:type="dxa"/>
        <w:tblLook w:val="04A0" w:firstRow="1" w:lastRow="0" w:firstColumn="1" w:lastColumn="0" w:noHBand="0" w:noVBand="1"/>
      </w:tblPr>
      <w:tblGrid>
        <w:gridCol w:w="8075"/>
        <w:gridCol w:w="1559"/>
      </w:tblGrid>
      <w:tr w:rsidR="001341D3" w:rsidRPr="006F02A4" w14:paraId="667012CE" w14:textId="77777777" w:rsidTr="001E3163">
        <w:trPr>
          <w:trHeight w:val="420"/>
        </w:trPr>
        <w:tc>
          <w:tcPr>
            <w:tcW w:w="8075" w:type="dxa"/>
            <w:tcBorders>
              <w:top w:val="single" w:sz="4" w:space="0" w:color="auto"/>
              <w:left w:val="single" w:sz="4" w:space="0" w:color="auto"/>
              <w:bottom w:val="single" w:sz="4" w:space="0" w:color="auto"/>
              <w:right w:val="nil"/>
            </w:tcBorders>
            <w:shd w:val="clear" w:color="000000" w:fill="002554"/>
            <w:vAlign w:val="center"/>
            <w:hideMark/>
          </w:tcPr>
          <w:p w14:paraId="7288A43D" w14:textId="77777777" w:rsidR="001341D3" w:rsidRPr="006F02A4" w:rsidRDefault="001341D3" w:rsidP="00E33E0E">
            <w:pPr>
              <w:spacing w:after="0" w:line="240" w:lineRule="auto"/>
              <w:rPr>
                <w:rFonts w:ascii="Arial" w:eastAsia="Times New Roman" w:hAnsi="Arial" w:cs="Arial"/>
                <w:b/>
                <w:bCs/>
                <w:color w:val="FFFFFF"/>
                <w:lang w:eastAsia="en-GB"/>
              </w:rPr>
            </w:pPr>
            <w:r w:rsidRPr="006F02A4">
              <w:rPr>
                <w:rFonts w:ascii="Arial" w:eastAsia="Times New Roman" w:hAnsi="Arial" w:cs="Arial"/>
                <w:b/>
                <w:bCs/>
                <w:color w:val="FFFFFF"/>
                <w:lang w:eastAsia="en-GB"/>
              </w:rPr>
              <w:t> </w:t>
            </w:r>
          </w:p>
        </w:tc>
        <w:tc>
          <w:tcPr>
            <w:tcW w:w="1559" w:type="dxa"/>
            <w:tcBorders>
              <w:top w:val="single" w:sz="4" w:space="0" w:color="auto"/>
              <w:left w:val="nil"/>
              <w:bottom w:val="nil"/>
              <w:right w:val="single" w:sz="4" w:space="0" w:color="auto"/>
            </w:tcBorders>
            <w:shd w:val="clear" w:color="000000" w:fill="002554"/>
            <w:vAlign w:val="center"/>
            <w:hideMark/>
          </w:tcPr>
          <w:p w14:paraId="7F11BC41" w14:textId="77777777" w:rsidR="001341D3" w:rsidRPr="006F02A4" w:rsidRDefault="001341D3" w:rsidP="00E33E0E">
            <w:pPr>
              <w:spacing w:after="0" w:line="240" w:lineRule="auto"/>
              <w:jc w:val="right"/>
              <w:rPr>
                <w:rFonts w:ascii="Arial" w:eastAsia="Times New Roman" w:hAnsi="Arial" w:cs="Arial"/>
                <w:b/>
                <w:bCs/>
                <w:color w:val="FFFFFF"/>
                <w:lang w:eastAsia="en-GB"/>
              </w:rPr>
            </w:pPr>
            <w:r w:rsidRPr="006F02A4">
              <w:rPr>
                <w:rFonts w:ascii="Arial" w:eastAsia="Times New Roman" w:hAnsi="Arial" w:cs="Arial"/>
                <w:b/>
                <w:bCs/>
                <w:color w:val="FFFFFF"/>
                <w:lang w:eastAsia="en-GB"/>
              </w:rPr>
              <w:t>Total (£M)</w:t>
            </w:r>
          </w:p>
        </w:tc>
      </w:tr>
      <w:tr w:rsidR="001341D3" w:rsidRPr="006F02A4" w14:paraId="3B57B70E" w14:textId="77777777" w:rsidTr="00480305">
        <w:trPr>
          <w:trHeight w:val="450"/>
        </w:trPr>
        <w:tc>
          <w:tcPr>
            <w:tcW w:w="8075" w:type="dxa"/>
            <w:tcBorders>
              <w:top w:val="nil"/>
              <w:left w:val="single" w:sz="4" w:space="0" w:color="auto"/>
              <w:bottom w:val="nil"/>
              <w:right w:val="nil"/>
            </w:tcBorders>
            <w:shd w:val="clear" w:color="auto" w:fill="auto"/>
            <w:vAlign w:val="center"/>
            <w:hideMark/>
          </w:tcPr>
          <w:p w14:paraId="748E5927" w14:textId="77777777" w:rsidR="001341D3" w:rsidRPr="006F02A4" w:rsidRDefault="001341D3"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Total income adjusted for TRAC (derived from financial statements for 2019-20)</w:t>
            </w:r>
          </w:p>
        </w:tc>
        <w:tc>
          <w:tcPr>
            <w:tcW w:w="1559" w:type="dxa"/>
            <w:tcBorders>
              <w:top w:val="nil"/>
              <w:left w:val="nil"/>
              <w:bottom w:val="nil"/>
              <w:right w:val="single" w:sz="4" w:space="0" w:color="auto"/>
            </w:tcBorders>
            <w:shd w:val="clear" w:color="auto" w:fill="auto"/>
            <w:vAlign w:val="center"/>
          </w:tcPr>
          <w:p w14:paraId="13FF11BA" w14:textId="77777777" w:rsidR="001341D3" w:rsidRPr="006F02A4" w:rsidRDefault="001341D3" w:rsidP="00480305">
            <w:pPr>
              <w:spacing w:after="0" w:line="240" w:lineRule="auto"/>
              <w:jc w:val="right"/>
              <w:rPr>
                <w:rFonts w:ascii="Arial" w:eastAsia="Times New Roman" w:hAnsi="Arial" w:cs="Arial"/>
                <w:lang w:eastAsia="en-GB"/>
              </w:rPr>
            </w:pPr>
            <w:r w:rsidRPr="006F02A4">
              <w:rPr>
                <w:rFonts w:ascii="Arial" w:hAnsi="Arial" w:cs="Arial"/>
                <w:color w:val="000000"/>
              </w:rPr>
              <w:t>40,899</w:t>
            </w:r>
          </w:p>
        </w:tc>
      </w:tr>
      <w:tr w:rsidR="001341D3" w:rsidRPr="006F02A4" w14:paraId="5B0BC380" w14:textId="77777777" w:rsidTr="00480305">
        <w:trPr>
          <w:trHeight w:val="450"/>
        </w:trPr>
        <w:tc>
          <w:tcPr>
            <w:tcW w:w="8075" w:type="dxa"/>
            <w:tcBorders>
              <w:top w:val="nil"/>
              <w:left w:val="single" w:sz="4" w:space="0" w:color="auto"/>
              <w:bottom w:val="single" w:sz="4" w:space="0" w:color="auto"/>
              <w:right w:val="nil"/>
            </w:tcBorders>
            <w:shd w:val="clear" w:color="auto" w:fill="auto"/>
            <w:vAlign w:val="center"/>
            <w:hideMark/>
          </w:tcPr>
          <w:p w14:paraId="2F166D8D" w14:textId="77777777" w:rsidR="001341D3" w:rsidRPr="006F02A4" w:rsidRDefault="001341D3"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Total expenditure adjusted for TRAC (derived from financial statements for 2019-20)</w:t>
            </w:r>
          </w:p>
        </w:tc>
        <w:tc>
          <w:tcPr>
            <w:tcW w:w="1559" w:type="dxa"/>
            <w:tcBorders>
              <w:top w:val="nil"/>
              <w:left w:val="nil"/>
              <w:bottom w:val="single" w:sz="4" w:space="0" w:color="auto"/>
              <w:right w:val="single" w:sz="4" w:space="0" w:color="auto"/>
            </w:tcBorders>
            <w:shd w:val="clear" w:color="auto" w:fill="auto"/>
            <w:vAlign w:val="center"/>
          </w:tcPr>
          <w:p w14:paraId="0A758F6B" w14:textId="77777777" w:rsidR="001341D3" w:rsidRPr="006F02A4" w:rsidRDefault="001341D3" w:rsidP="00480305">
            <w:pPr>
              <w:spacing w:after="0" w:line="240" w:lineRule="auto"/>
              <w:jc w:val="right"/>
              <w:rPr>
                <w:rFonts w:ascii="Arial" w:eastAsia="Times New Roman" w:hAnsi="Arial" w:cs="Arial"/>
                <w:lang w:eastAsia="en-GB"/>
              </w:rPr>
            </w:pPr>
            <w:r w:rsidRPr="006F02A4">
              <w:rPr>
                <w:rFonts w:ascii="Arial" w:hAnsi="Arial" w:cs="Arial"/>
                <w:color w:val="000000"/>
              </w:rPr>
              <w:t>40,615</w:t>
            </w:r>
          </w:p>
        </w:tc>
      </w:tr>
      <w:tr w:rsidR="001341D3" w:rsidRPr="006F02A4" w14:paraId="67F07708" w14:textId="77777777" w:rsidTr="00480305">
        <w:trPr>
          <w:trHeight w:val="450"/>
        </w:trPr>
        <w:tc>
          <w:tcPr>
            <w:tcW w:w="8075" w:type="dxa"/>
            <w:tcBorders>
              <w:top w:val="nil"/>
              <w:left w:val="single" w:sz="4" w:space="0" w:color="auto"/>
              <w:bottom w:val="single" w:sz="4" w:space="0" w:color="auto"/>
              <w:right w:val="nil"/>
            </w:tcBorders>
            <w:shd w:val="clear" w:color="auto" w:fill="auto"/>
            <w:vAlign w:val="center"/>
            <w:hideMark/>
          </w:tcPr>
          <w:p w14:paraId="6D57F836" w14:textId="77777777" w:rsidR="001341D3" w:rsidRPr="006F02A4" w:rsidRDefault="001341D3"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Operating surplus/(deficit) per audited financial statements</w:t>
            </w:r>
          </w:p>
        </w:tc>
        <w:tc>
          <w:tcPr>
            <w:tcW w:w="1559" w:type="dxa"/>
            <w:tcBorders>
              <w:top w:val="nil"/>
              <w:left w:val="nil"/>
              <w:bottom w:val="single" w:sz="4" w:space="0" w:color="auto"/>
              <w:right w:val="single" w:sz="4" w:space="0" w:color="auto"/>
            </w:tcBorders>
            <w:shd w:val="clear" w:color="auto" w:fill="auto"/>
            <w:vAlign w:val="center"/>
          </w:tcPr>
          <w:p w14:paraId="62DA3357" w14:textId="77777777" w:rsidR="001341D3" w:rsidRPr="006F02A4" w:rsidRDefault="001341D3" w:rsidP="00480305">
            <w:pPr>
              <w:spacing w:after="0" w:line="240" w:lineRule="auto"/>
              <w:jc w:val="right"/>
              <w:rPr>
                <w:rFonts w:ascii="Arial" w:eastAsia="Times New Roman" w:hAnsi="Arial" w:cs="Arial"/>
                <w:lang w:eastAsia="en-GB"/>
              </w:rPr>
            </w:pPr>
            <w:r w:rsidRPr="006F02A4">
              <w:rPr>
                <w:rFonts w:ascii="Arial" w:hAnsi="Arial" w:cs="Arial"/>
                <w:color w:val="000000"/>
              </w:rPr>
              <w:t>284</w:t>
            </w:r>
          </w:p>
        </w:tc>
      </w:tr>
      <w:tr w:rsidR="001341D3" w:rsidRPr="006F02A4" w14:paraId="6F1301E4" w14:textId="77777777" w:rsidTr="00480305">
        <w:trPr>
          <w:trHeight w:val="450"/>
        </w:trPr>
        <w:tc>
          <w:tcPr>
            <w:tcW w:w="8075" w:type="dxa"/>
            <w:tcBorders>
              <w:top w:val="nil"/>
              <w:left w:val="single" w:sz="4" w:space="0" w:color="auto"/>
              <w:bottom w:val="nil"/>
              <w:right w:val="nil"/>
            </w:tcBorders>
            <w:shd w:val="clear" w:color="auto" w:fill="auto"/>
            <w:vAlign w:val="center"/>
            <w:hideMark/>
          </w:tcPr>
          <w:p w14:paraId="0F13535D" w14:textId="77777777" w:rsidR="001341D3" w:rsidRPr="006F02A4" w:rsidRDefault="001341D3"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Sustainability adjustment (EBITDA for MSI)</w:t>
            </w:r>
          </w:p>
        </w:tc>
        <w:tc>
          <w:tcPr>
            <w:tcW w:w="1559" w:type="dxa"/>
            <w:tcBorders>
              <w:top w:val="nil"/>
              <w:left w:val="nil"/>
              <w:bottom w:val="single" w:sz="4" w:space="0" w:color="auto"/>
              <w:right w:val="single" w:sz="4" w:space="0" w:color="auto"/>
            </w:tcBorders>
            <w:shd w:val="clear" w:color="auto" w:fill="auto"/>
            <w:vAlign w:val="center"/>
          </w:tcPr>
          <w:p w14:paraId="7371C803" w14:textId="77777777" w:rsidR="001341D3" w:rsidRPr="006F02A4" w:rsidRDefault="001341D3" w:rsidP="00480305">
            <w:pPr>
              <w:spacing w:after="0" w:line="240" w:lineRule="auto"/>
              <w:jc w:val="right"/>
              <w:rPr>
                <w:rFonts w:ascii="Arial" w:eastAsia="Times New Roman" w:hAnsi="Arial" w:cs="Arial"/>
                <w:lang w:eastAsia="en-GB"/>
              </w:rPr>
            </w:pPr>
            <w:r w:rsidRPr="006F02A4">
              <w:rPr>
                <w:rFonts w:ascii="Arial" w:hAnsi="Arial" w:cs="Arial"/>
                <w:color w:val="000000"/>
              </w:rPr>
              <w:t>3,457</w:t>
            </w:r>
          </w:p>
        </w:tc>
      </w:tr>
      <w:tr w:rsidR="001341D3" w:rsidRPr="006F02A4" w14:paraId="13A50733" w14:textId="77777777" w:rsidTr="00480305">
        <w:trPr>
          <w:trHeight w:val="450"/>
        </w:trPr>
        <w:tc>
          <w:tcPr>
            <w:tcW w:w="8075" w:type="dxa"/>
            <w:tcBorders>
              <w:top w:val="single" w:sz="4" w:space="0" w:color="auto"/>
              <w:left w:val="single" w:sz="4" w:space="0" w:color="auto"/>
              <w:bottom w:val="single" w:sz="4" w:space="0" w:color="auto"/>
              <w:right w:val="nil"/>
            </w:tcBorders>
            <w:shd w:val="clear" w:color="auto" w:fill="auto"/>
            <w:vAlign w:val="center"/>
            <w:hideMark/>
          </w:tcPr>
          <w:p w14:paraId="473C69C2" w14:textId="77777777" w:rsidR="001341D3" w:rsidRPr="006F02A4" w:rsidRDefault="001341D3"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Full economic cost (total expenditure plus target surplus for sustainable operations)</w:t>
            </w:r>
          </w:p>
        </w:tc>
        <w:tc>
          <w:tcPr>
            <w:tcW w:w="1559" w:type="dxa"/>
            <w:tcBorders>
              <w:top w:val="nil"/>
              <w:left w:val="nil"/>
              <w:bottom w:val="single" w:sz="4" w:space="0" w:color="auto"/>
              <w:right w:val="single" w:sz="4" w:space="0" w:color="auto"/>
            </w:tcBorders>
            <w:shd w:val="clear" w:color="auto" w:fill="auto"/>
            <w:vAlign w:val="center"/>
          </w:tcPr>
          <w:p w14:paraId="73B220E6" w14:textId="77777777" w:rsidR="001341D3" w:rsidRPr="006F02A4" w:rsidRDefault="001341D3" w:rsidP="00480305">
            <w:pPr>
              <w:spacing w:after="0" w:line="240" w:lineRule="auto"/>
              <w:jc w:val="right"/>
              <w:rPr>
                <w:rFonts w:ascii="Arial" w:eastAsia="Times New Roman" w:hAnsi="Arial" w:cs="Arial"/>
                <w:lang w:eastAsia="en-GB"/>
              </w:rPr>
            </w:pPr>
            <w:r w:rsidRPr="006F02A4">
              <w:rPr>
                <w:rFonts w:ascii="Arial" w:hAnsi="Arial" w:cs="Arial"/>
                <w:color w:val="000000"/>
              </w:rPr>
              <w:t>44,072</w:t>
            </w:r>
          </w:p>
        </w:tc>
      </w:tr>
      <w:tr w:rsidR="001341D3" w:rsidRPr="006F02A4" w14:paraId="6387D95B" w14:textId="77777777" w:rsidTr="00480305">
        <w:trPr>
          <w:trHeight w:val="450"/>
        </w:trPr>
        <w:tc>
          <w:tcPr>
            <w:tcW w:w="8075" w:type="dxa"/>
            <w:tcBorders>
              <w:top w:val="nil"/>
              <w:left w:val="single" w:sz="4" w:space="0" w:color="auto"/>
              <w:bottom w:val="single" w:sz="4" w:space="0" w:color="auto"/>
              <w:right w:val="nil"/>
            </w:tcBorders>
            <w:shd w:val="clear" w:color="auto" w:fill="auto"/>
            <w:vAlign w:val="center"/>
            <w:hideMark/>
          </w:tcPr>
          <w:p w14:paraId="3D11FBE1" w14:textId="20276A2A" w:rsidR="001341D3" w:rsidRPr="006F02A4" w:rsidRDefault="001341D3" w:rsidP="00E33E0E">
            <w:pPr>
              <w:spacing w:after="0" w:line="240" w:lineRule="auto"/>
              <w:rPr>
                <w:rFonts w:ascii="Arial" w:eastAsia="Times New Roman" w:hAnsi="Arial" w:cs="Arial"/>
                <w:lang w:eastAsia="en-GB"/>
              </w:rPr>
            </w:pPr>
            <w:r w:rsidRPr="006F02A4">
              <w:rPr>
                <w:rFonts w:ascii="Arial" w:eastAsia="Times New Roman" w:hAnsi="Arial" w:cs="Arial"/>
                <w:lang w:eastAsia="en-GB"/>
              </w:rPr>
              <w:t>TRAC surplus/</w:t>
            </w:r>
            <w:r w:rsidR="001E3163" w:rsidRPr="006F02A4">
              <w:rPr>
                <w:rFonts w:ascii="Arial" w:eastAsia="Times New Roman" w:hAnsi="Arial" w:cs="Arial"/>
                <w:lang w:eastAsia="en-GB"/>
              </w:rPr>
              <w:t>(</w:t>
            </w:r>
            <w:r w:rsidRPr="006F02A4">
              <w:rPr>
                <w:rFonts w:ascii="Arial" w:eastAsia="Times New Roman" w:hAnsi="Arial" w:cs="Arial"/>
                <w:lang w:eastAsia="en-GB"/>
              </w:rPr>
              <w:t>deficit</w:t>
            </w:r>
            <w:r w:rsidR="001E3163" w:rsidRPr="006F02A4">
              <w:rPr>
                <w:rFonts w:ascii="Arial" w:eastAsia="Times New Roman" w:hAnsi="Arial" w:cs="Arial"/>
                <w:lang w:eastAsia="en-GB"/>
              </w:rPr>
              <w:t>)</w:t>
            </w:r>
          </w:p>
        </w:tc>
        <w:tc>
          <w:tcPr>
            <w:tcW w:w="1559" w:type="dxa"/>
            <w:tcBorders>
              <w:top w:val="nil"/>
              <w:left w:val="nil"/>
              <w:bottom w:val="single" w:sz="4" w:space="0" w:color="auto"/>
              <w:right w:val="single" w:sz="4" w:space="0" w:color="auto"/>
            </w:tcBorders>
            <w:shd w:val="clear" w:color="auto" w:fill="auto"/>
            <w:vAlign w:val="center"/>
          </w:tcPr>
          <w:p w14:paraId="75F8C419" w14:textId="77777777" w:rsidR="001341D3" w:rsidRPr="006F02A4" w:rsidRDefault="001341D3" w:rsidP="00480305">
            <w:pPr>
              <w:spacing w:after="0" w:line="240" w:lineRule="auto"/>
              <w:jc w:val="right"/>
              <w:rPr>
                <w:rFonts w:ascii="Arial" w:eastAsia="Times New Roman" w:hAnsi="Arial" w:cs="Arial"/>
                <w:lang w:eastAsia="en-GB"/>
              </w:rPr>
            </w:pPr>
            <w:r w:rsidRPr="006F02A4">
              <w:rPr>
                <w:rFonts w:ascii="Arial" w:hAnsi="Arial" w:cs="Arial"/>
                <w:color w:val="000000"/>
              </w:rPr>
              <w:t>(3,172)</w:t>
            </w:r>
          </w:p>
        </w:tc>
      </w:tr>
    </w:tbl>
    <w:p w14:paraId="520D8642" w14:textId="77777777" w:rsidR="005C5A23" w:rsidRPr="006F02A4" w:rsidRDefault="005C5A23" w:rsidP="005C5A23">
      <w:pPr>
        <w:pStyle w:val="Numberedtext1"/>
        <w:numPr>
          <w:ilvl w:val="0"/>
          <w:numId w:val="0"/>
        </w:numPr>
      </w:pPr>
    </w:p>
    <w:p w14:paraId="6BE47002" w14:textId="58AB0E5D" w:rsidR="005C5A23" w:rsidRPr="006F02A4" w:rsidRDefault="005C5A23" w:rsidP="005C5A23">
      <w:pPr>
        <w:pStyle w:val="Heading4"/>
      </w:pPr>
      <w:r w:rsidRPr="006F02A4">
        <w:t xml:space="preserve">Notes to Table </w:t>
      </w:r>
      <w:r w:rsidR="00883D4F" w:rsidRPr="006F02A4">
        <w:t>6</w:t>
      </w:r>
    </w:p>
    <w:p w14:paraId="35A9FB5B" w14:textId="77777777" w:rsidR="005C5A23" w:rsidRPr="006F02A4" w:rsidRDefault="005C5A23" w:rsidP="005C5A23">
      <w:pPr>
        <w:pStyle w:val="Numberedtext1"/>
        <w:numPr>
          <w:ilvl w:val="0"/>
          <w:numId w:val="24"/>
        </w:numPr>
      </w:pPr>
      <w:r w:rsidRPr="006F02A4">
        <w:t>The income and expenditure lines as reported in the financial statements are adjusted, where appropriate, in respect of pension costs, gains or losses on disposal of fixed assets, gains or losses on investments, share of surpluses or deficits in joint ventures and associates, taxation charges or credits and non-controlling interests, in line with the TRAC guidance for 2019-20 – Version 2.5 (July 2020) and Annual TRAC return template at Annex 4.1a.</w:t>
      </w:r>
      <w:r w:rsidRPr="006F02A4">
        <w:rPr>
          <w:rStyle w:val="FootnoteReference"/>
        </w:rPr>
        <w:footnoteReference w:id="16"/>
      </w:r>
    </w:p>
    <w:p w14:paraId="551CAAFF" w14:textId="01A1EDAC" w:rsidR="005C5A23" w:rsidRPr="006F02A4" w:rsidRDefault="005C5A23" w:rsidP="005C5A23">
      <w:pPr>
        <w:pStyle w:val="Numberedtext1"/>
        <w:numPr>
          <w:ilvl w:val="0"/>
          <w:numId w:val="24"/>
        </w:numPr>
      </w:pPr>
      <w:r w:rsidRPr="006F02A4">
        <w:t>The sustainability adjustment is defined as ‘earnings before interest, tax, depreciation and amortisation’ (EBITDA), adjusted as defined in the TRAC guidance requirements (section 3.2.4 and template at Annex 3.2a) to provide the ‘margin for sustainability and investment’ (‘EBITDA for MSI’).</w:t>
      </w:r>
      <w:r w:rsidR="00D913F8">
        <w:rPr>
          <w:rStyle w:val="FootnoteReference"/>
        </w:rPr>
        <w:footnoteReference w:id="17"/>
      </w:r>
    </w:p>
    <w:p w14:paraId="60482D6E" w14:textId="77777777" w:rsidR="005C5A23" w:rsidRPr="006F02A4" w:rsidRDefault="005C5A23" w:rsidP="005C5A23">
      <w:pPr>
        <w:pStyle w:val="Numberedtext1"/>
        <w:numPr>
          <w:ilvl w:val="0"/>
          <w:numId w:val="24"/>
        </w:numPr>
        <w:rPr>
          <w:b/>
          <w:color w:val="002554"/>
          <w:sz w:val="24"/>
        </w:rPr>
      </w:pPr>
      <w:r w:rsidRPr="006F02A4">
        <w:t>Full economic cost is total expenditure derived from the financial statements, plus the sustainability adjustment.</w:t>
      </w:r>
    </w:p>
    <w:p w14:paraId="3250CED4" w14:textId="761A0BEB" w:rsidR="00DA30B0" w:rsidRPr="006F02A4" w:rsidRDefault="005C5A23" w:rsidP="005C5A23">
      <w:pPr>
        <w:pStyle w:val="Numberedtext1"/>
        <w:numPr>
          <w:ilvl w:val="0"/>
          <w:numId w:val="24"/>
        </w:numPr>
        <w:rPr>
          <w:b/>
          <w:color w:val="002554"/>
          <w:sz w:val="24"/>
        </w:rPr>
      </w:pPr>
      <w:r w:rsidRPr="006F02A4">
        <w:t>TRAC surplus/(deficit) is the difference between total income and the full economic costs.</w:t>
      </w:r>
    </w:p>
    <w:p w14:paraId="376C560C" w14:textId="522DD2AA" w:rsidR="00426A49" w:rsidRPr="006F02A4" w:rsidRDefault="00426A49" w:rsidP="00FA0DF3">
      <w:pPr>
        <w:pStyle w:val="Numberedtext1"/>
        <w:numPr>
          <w:ilvl w:val="0"/>
          <w:numId w:val="0"/>
        </w:numPr>
      </w:pPr>
    </w:p>
    <w:p w14:paraId="7F49722B" w14:textId="77777777" w:rsidR="00F538C3" w:rsidRPr="006F02A4" w:rsidRDefault="00F538C3" w:rsidP="00F538C3">
      <w:pPr>
        <w:pStyle w:val="Heading1"/>
      </w:pPr>
      <w:bookmarkStart w:id="22" w:name="_Toc42783360"/>
      <w:bookmarkStart w:id="23" w:name="_Toc78299739"/>
      <w:r w:rsidRPr="006F02A4">
        <w:lastRenderedPageBreak/>
        <w:t>Annex C: UK peer group summary 2019-</w:t>
      </w:r>
      <w:bookmarkEnd w:id="22"/>
      <w:r w:rsidRPr="006F02A4">
        <w:t>20</w:t>
      </w:r>
      <w:bookmarkEnd w:id="23"/>
    </w:p>
    <w:p w14:paraId="3FADDD2C" w14:textId="3CD3F421" w:rsidR="00F538C3" w:rsidRPr="006F02A4" w:rsidRDefault="00DE5C0F" w:rsidP="00F538C3">
      <w:pPr>
        <w:pStyle w:val="Numberedtext1"/>
        <w:numPr>
          <w:ilvl w:val="0"/>
          <w:numId w:val="27"/>
        </w:numPr>
        <w:ind w:left="360" w:hanging="357"/>
      </w:pPr>
      <w:r w:rsidRPr="006F02A4">
        <w:t>The s</w:t>
      </w:r>
      <w:r w:rsidR="00F538C3" w:rsidRPr="006F02A4">
        <w:t>ector peer group summary is provided as an Excel file.</w:t>
      </w:r>
      <w:r w:rsidR="00F538C3" w:rsidRPr="006F02A4">
        <w:rPr>
          <w:rStyle w:val="FootnoteReference"/>
        </w:rPr>
        <w:footnoteReference w:id="18"/>
      </w:r>
      <w:r w:rsidR="00F538C3" w:rsidRPr="006F02A4">
        <w:t xml:space="preserve"> The Excel workbook contains three worksheets of data: </w:t>
      </w:r>
    </w:p>
    <w:p w14:paraId="0C0ABD13" w14:textId="77777777" w:rsidR="00F538C3" w:rsidRPr="006F02A4" w:rsidRDefault="00F538C3" w:rsidP="00F538C3">
      <w:pPr>
        <w:pStyle w:val="ListParagraph"/>
        <w:numPr>
          <w:ilvl w:val="0"/>
          <w:numId w:val="26"/>
        </w:numPr>
        <w:spacing w:after="240" w:line="300" w:lineRule="atLeast"/>
        <w:ind w:left="714" w:hanging="357"/>
        <w:contextualSpacing w:val="0"/>
      </w:pPr>
      <w:r w:rsidRPr="006F02A4">
        <w:t>Tables 1 and 2 provide analysis of TRAC full economic costs and cost recovery on the main activities, analysed by TRAC peer group</w:t>
      </w:r>
    </w:p>
    <w:p w14:paraId="13043E73" w14:textId="77777777" w:rsidR="00F538C3" w:rsidRPr="006F02A4" w:rsidRDefault="00F538C3" w:rsidP="00F538C3">
      <w:pPr>
        <w:pStyle w:val="ListParagraph"/>
        <w:numPr>
          <w:ilvl w:val="0"/>
          <w:numId w:val="26"/>
        </w:numPr>
        <w:spacing w:after="240" w:line="300" w:lineRule="atLeast"/>
        <w:ind w:left="714" w:hanging="357"/>
        <w:contextualSpacing w:val="0"/>
      </w:pPr>
      <w:r w:rsidRPr="006F02A4">
        <w:t>Table 3 provides recovery of full economic costs for research, by research sponsor type, analysed by TRAC peer group</w:t>
      </w:r>
    </w:p>
    <w:p w14:paraId="24DC6C44" w14:textId="77777777" w:rsidR="00F538C3" w:rsidRPr="006F02A4" w:rsidRDefault="00F538C3" w:rsidP="00F538C3">
      <w:pPr>
        <w:pStyle w:val="ListParagraph"/>
        <w:numPr>
          <w:ilvl w:val="0"/>
          <w:numId w:val="26"/>
        </w:numPr>
        <w:spacing w:after="240" w:line="300" w:lineRule="atLeast"/>
        <w:ind w:left="714" w:hanging="357"/>
        <w:contextualSpacing w:val="0"/>
      </w:pPr>
      <w:r w:rsidRPr="006F02A4">
        <w:t>Table 4 provides analysis of the sustainability adjustment and TRAC surplus/(deficit).</w:t>
      </w:r>
    </w:p>
    <w:p w14:paraId="37321FCE" w14:textId="77777777" w:rsidR="00F538C3" w:rsidRPr="006F02A4" w:rsidRDefault="00F538C3" w:rsidP="00F538C3">
      <w:pPr>
        <w:pStyle w:val="Heading2"/>
      </w:pPr>
      <w:bookmarkStart w:id="24" w:name="_Toc42783361"/>
      <w:bookmarkStart w:id="25" w:name="_Toc78299740"/>
      <w:r w:rsidRPr="006F02A4">
        <w:t>Analysis by TRAC peer group: methodology</w:t>
      </w:r>
      <w:bookmarkEnd w:id="24"/>
      <w:bookmarkEnd w:id="25"/>
      <w:r w:rsidRPr="006F02A4">
        <w:t xml:space="preserve"> </w:t>
      </w:r>
    </w:p>
    <w:p w14:paraId="18FAF708" w14:textId="25218976" w:rsidR="00F538C3" w:rsidRPr="006F02A4" w:rsidRDefault="00F538C3" w:rsidP="00F538C3">
      <w:pPr>
        <w:pStyle w:val="Numberedtext1"/>
      </w:pPr>
      <w:r w:rsidRPr="006F02A4">
        <w:t xml:space="preserve">The worksheets provide summary data (averages, </w:t>
      </w:r>
      <w:proofErr w:type="gramStart"/>
      <w:r w:rsidRPr="006F02A4">
        <w:t>medians</w:t>
      </w:r>
      <w:proofErr w:type="gramEnd"/>
      <w:r w:rsidRPr="006F02A4">
        <w:t xml:space="preserve"> and quartiles) for the UK sector and each of the TRAC peer groups (groups A to F), including charts. </w:t>
      </w:r>
    </w:p>
    <w:p w14:paraId="6EE3B589" w14:textId="08B06B1F" w:rsidR="00F538C3" w:rsidRPr="006F02A4" w:rsidRDefault="00F538C3" w:rsidP="00F538C3">
      <w:pPr>
        <w:pStyle w:val="Numberedtext1"/>
      </w:pPr>
      <w:r w:rsidRPr="006F02A4">
        <w:t>Higher education institutions have been allocated to TRAC peer groups</w:t>
      </w:r>
      <w:r w:rsidRPr="006F02A4">
        <w:rPr>
          <w:rStyle w:val="FootnoteReference"/>
        </w:rPr>
        <w:footnoteReference w:id="19"/>
      </w:r>
      <w:r w:rsidRPr="006F02A4">
        <w:t xml:space="preserve"> based on levels of research income, overall total income, having a medical school, or specialism in music or the arts. TRAC peer groups are set for </w:t>
      </w:r>
      <w:proofErr w:type="gramStart"/>
      <w:r w:rsidRPr="006F02A4">
        <w:t>a number of</w:t>
      </w:r>
      <w:proofErr w:type="gramEnd"/>
      <w:r w:rsidRPr="006F02A4">
        <w:t xml:space="preserve"> years in order to maintain a stable group for comparison, and so are not updated annually. The review and updating of peer groups</w:t>
      </w:r>
      <w:r w:rsidR="003A0D1B" w:rsidRPr="006F02A4">
        <w:t>,</w:t>
      </w:r>
      <w:r w:rsidRPr="006F02A4">
        <w:t xml:space="preserve"> which was planned for reporting on 2019-20 data</w:t>
      </w:r>
      <w:r w:rsidR="003A0D1B" w:rsidRPr="006F02A4">
        <w:t>,</w:t>
      </w:r>
      <w:r w:rsidRPr="006F02A4">
        <w:t xml:space="preserve"> has been deferred pending the outcome of the Review of TRAC</w:t>
      </w:r>
      <w:r w:rsidR="001D5691" w:rsidRPr="006F02A4">
        <w:t>.</w:t>
      </w:r>
      <w:r w:rsidRPr="006F02A4">
        <w:rPr>
          <w:rStyle w:val="FootnoteReference"/>
        </w:rPr>
        <w:footnoteReference w:id="20"/>
      </w:r>
    </w:p>
    <w:p w14:paraId="30B83B7C" w14:textId="77777777" w:rsidR="00F538C3" w:rsidRPr="006F02A4" w:rsidRDefault="00F538C3" w:rsidP="00F538C3">
      <w:pPr>
        <w:pStyle w:val="Numberedtext1"/>
      </w:pPr>
      <w:r w:rsidRPr="006F02A4">
        <w:t>When considering the analysis in the peer group tables, the number of institutions with data in each peer group should be taken into consideration; these are shown at the top of each table.</w:t>
      </w:r>
    </w:p>
    <w:p w14:paraId="0D80D0FE" w14:textId="31093463" w:rsidR="007257B8" w:rsidRPr="006F02A4" w:rsidRDefault="00F538C3" w:rsidP="00F538C3">
      <w:pPr>
        <w:pStyle w:val="Numberedtext1"/>
      </w:pPr>
      <w:r w:rsidRPr="006F02A4">
        <w:t xml:space="preserve">In all tables, the ‘UK sector’ has been split into three categories: All institutions; those not applying dispensation; and those applying dispensation. For individual peer groups, all institutions are included, whether dispensation has been applied or not. This change was introduced from 2018-19. In 2017-18 (and earlier) TRAC analysis, the data shown for </w:t>
      </w:r>
      <w:r w:rsidR="006418F8" w:rsidRPr="006F02A4">
        <w:t>‘</w:t>
      </w:r>
      <w:r w:rsidRPr="006F02A4">
        <w:t>UK sector</w:t>
      </w:r>
      <w:r w:rsidR="006418F8" w:rsidRPr="006F02A4">
        <w:t>’</w:t>
      </w:r>
      <w:r w:rsidRPr="006F02A4">
        <w:t xml:space="preserve"> and individual peer groups excluded institutions that applied dispensation.</w:t>
      </w:r>
    </w:p>
    <w:p w14:paraId="6745D52E" w14:textId="77777777" w:rsidR="00D22D87" w:rsidRPr="006F02A4" w:rsidRDefault="00D22D87" w:rsidP="00D22D87">
      <w:pPr>
        <w:pStyle w:val="Numberedtext1"/>
        <w:numPr>
          <w:ilvl w:val="0"/>
          <w:numId w:val="0"/>
        </w:numPr>
        <w:ind w:left="357" w:hanging="357"/>
      </w:pPr>
    </w:p>
    <w:p w14:paraId="05F38927" w14:textId="21DE4690" w:rsidR="00D22D87" w:rsidRPr="006F02A4" w:rsidRDefault="00D22D87" w:rsidP="00D22D87">
      <w:pPr>
        <w:pStyle w:val="Numberedtext1"/>
        <w:numPr>
          <w:ilvl w:val="0"/>
          <w:numId w:val="0"/>
        </w:numPr>
        <w:ind w:left="357" w:hanging="357"/>
        <w:sectPr w:rsidR="00D22D87" w:rsidRPr="006F02A4" w:rsidSect="002B029B">
          <w:pgSz w:w="11906" w:h="16838" w:code="9"/>
          <w:pgMar w:top="1134" w:right="1134" w:bottom="1134" w:left="1134" w:header="454" w:footer="454" w:gutter="0"/>
          <w:cols w:space="708"/>
          <w:titlePg/>
          <w:docGrid w:linePitch="360"/>
        </w:sectPr>
      </w:pPr>
    </w:p>
    <w:p w14:paraId="51406E41" w14:textId="77777777" w:rsidR="00531B3A" w:rsidRPr="006F02A4" w:rsidRDefault="00531B3A" w:rsidP="008B0C6B"/>
    <w:p w14:paraId="2FD29A91" w14:textId="77777777" w:rsidR="00531B3A" w:rsidRPr="006F02A4" w:rsidRDefault="00531B3A" w:rsidP="008B0C6B"/>
    <w:p w14:paraId="3D80762E" w14:textId="77777777" w:rsidR="00531B3A" w:rsidRPr="006F02A4" w:rsidRDefault="00531B3A" w:rsidP="008B0C6B"/>
    <w:p w14:paraId="0442A3D2" w14:textId="77777777" w:rsidR="00531B3A" w:rsidRPr="006F02A4" w:rsidRDefault="00531B3A" w:rsidP="008B0C6B"/>
    <w:p w14:paraId="0B93725A" w14:textId="77777777" w:rsidR="00531B3A" w:rsidRPr="006F02A4" w:rsidRDefault="00531B3A" w:rsidP="008B0C6B"/>
    <w:p w14:paraId="3296AFFA" w14:textId="77777777" w:rsidR="00531B3A" w:rsidRPr="006F02A4" w:rsidRDefault="00531B3A" w:rsidP="008B0C6B"/>
    <w:p w14:paraId="59E9D605" w14:textId="77777777" w:rsidR="00531B3A" w:rsidRPr="006F02A4" w:rsidRDefault="00531B3A" w:rsidP="008B0C6B"/>
    <w:p w14:paraId="7AC4739A" w14:textId="77777777" w:rsidR="00531B3A" w:rsidRPr="006F02A4" w:rsidRDefault="00531B3A" w:rsidP="008B0C6B"/>
    <w:p w14:paraId="5D93C977" w14:textId="77777777" w:rsidR="00531B3A" w:rsidRPr="006F02A4" w:rsidRDefault="00531B3A" w:rsidP="008B0C6B"/>
    <w:p w14:paraId="09A4B113" w14:textId="77777777" w:rsidR="00531B3A" w:rsidRPr="006F02A4" w:rsidRDefault="00531B3A" w:rsidP="008B0C6B"/>
    <w:p w14:paraId="0E29ED63" w14:textId="77777777" w:rsidR="00531B3A" w:rsidRPr="006F02A4" w:rsidRDefault="00531B3A" w:rsidP="008B0C6B"/>
    <w:p w14:paraId="7984AD60" w14:textId="77777777" w:rsidR="00531B3A" w:rsidRPr="006F02A4" w:rsidRDefault="00531B3A" w:rsidP="008B0C6B"/>
    <w:p w14:paraId="71FC47D7" w14:textId="77777777" w:rsidR="00531B3A" w:rsidRPr="006F02A4" w:rsidRDefault="00531B3A" w:rsidP="008B0C6B"/>
    <w:p w14:paraId="765CE8A1" w14:textId="77777777" w:rsidR="00531B3A" w:rsidRPr="006F02A4" w:rsidRDefault="00531B3A" w:rsidP="008B0C6B"/>
    <w:p w14:paraId="65556D7C" w14:textId="77777777" w:rsidR="00531B3A" w:rsidRPr="006F02A4" w:rsidRDefault="00531B3A" w:rsidP="008B0C6B"/>
    <w:p w14:paraId="195617C6" w14:textId="77777777" w:rsidR="00531B3A" w:rsidRPr="006F02A4" w:rsidRDefault="00531B3A" w:rsidP="008B0C6B"/>
    <w:p w14:paraId="16DAC5B9" w14:textId="77777777" w:rsidR="00531B3A" w:rsidRPr="006F02A4" w:rsidRDefault="00531B3A" w:rsidP="008B0C6B"/>
    <w:p w14:paraId="61E005EC" w14:textId="77777777" w:rsidR="00531B3A" w:rsidRPr="006F02A4" w:rsidRDefault="00531B3A" w:rsidP="008B0C6B"/>
    <w:p w14:paraId="6A502605" w14:textId="77777777" w:rsidR="00531B3A" w:rsidRPr="006F02A4" w:rsidRDefault="00531B3A" w:rsidP="008B0C6B"/>
    <w:p w14:paraId="1FCF6E40" w14:textId="77777777" w:rsidR="00531B3A" w:rsidRPr="006F02A4" w:rsidRDefault="00531B3A" w:rsidP="008B0C6B"/>
    <w:p w14:paraId="73C55E52" w14:textId="77777777" w:rsidR="00531B3A" w:rsidRPr="006F02A4" w:rsidRDefault="00531B3A" w:rsidP="008B0C6B"/>
    <w:p w14:paraId="75C05E28" w14:textId="77777777" w:rsidR="00531B3A" w:rsidRPr="006F02A4" w:rsidRDefault="00531B3A" w:rsidP="008B0C6B"/>
    <w:p w14:paraId="0E1E9524" w14:textId="77777777" w:rsidR="00531B3A" w:rsidRPr="006F02A4" w:rsidRDefault="00531B3A" w:rsidP="008B0C6B"/>
    <w:p w14:paraId="464C4F35" w14:textId="77777777" w:rsidR="00531B3A" w:rsidRPr="006F02A4" w:rsidRDefault="00531B3A" w:rsidP="008B0C6B"/>
    <w:p w14:paraId="788788E1" w14:textId="77777777" w:rsidR="00531B3A" w:rsidRPr="006F02A4" w:rsidRDefault="00531B3A" w:rsidP="008B0C6B"/>
    <w:p w14:paraId="029B1DC6" w14:textId="77777777" w:rsidR="00531B3A" w:rsidRPr="006F02A4" w:rsidRDefault="00531B3A" w:rsidP="008B0C6B"/>
    <w:p w14:paraId="13D1D620" w14:textId="77777777" w:rsidR="00531B3A" w:rsidRPr="006F02A4" w:rsidRDefault="00517F83" w:rsidP="008B0C6B">
      <w:r w:rsidRPr="006F02A4">
        <w:rPr>
          <w:noProof/>
          <w:lang w:eastAsia="en-GB"/>
        </w:rPr>
        <w:drawing>
          <wp:inline distT="0" distB="0" distL="0" distR="0" wp14:anchorId="31589A01" wp14:editId="2F18E65E">
            <wp:extent cx="647700" cy="261366"/>
            <wp:effectExtent l="0" t="0" r="0" b="5715"/>
            <wp:docPr id="8" name="Picture 8" descr="logo for OGL (Open Government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for OGL (Open Government Licence)"/>
                    <pic:cNvPicPr/>
                  </pic:nvPicPr>
                  <pic:blipFill>
                    <a:blip r:embed="rId20" cstate="print">
                      <a:extLst>
                        <a:ext uri="{28A0092B-C50C-407E-A947-70E740481C1C}">
                          <a14:useLocalDpi xmlns:a14="http://schemas.microsoft.com/office/drawing/2010/main"/>
                        </a:ext>
                      </a:extLst>
                    </a:blip>
                    <a:stretch>
                      <a:fillRect/>
                    </a:stretch>
                  </pic:blipFill>
                  <pic:spPr>
                    <a:xfrm>
                      <a:off x="0" y="0"/>
                      <a:ext cx="647700" cy="261366"/>
                    </a:xfrm>
                    <a:prstGeom prst="rect">
                      <a:avLst/>
                    </a:prstGeom>
                  </pic:spPr>
                </pic:pic>
              </a:graphicData>
            </a:graphic>
          </wp:inline>
        </w:drawing>
      </w:r>
    </w:p>
    <w:p w14:paraId="74104F02" w14:textId="730A4898" w:rsidR="00531B3A" w:rsidRPr="006F02A4" w:rsidRDefault="00531B3A" w:rsidP="00531B3A">
      <w:pPr>
        <w:rPr>
          <w:color w:val="002554" w:themeColor="text2"/>
        </w:rPr>
      </w:pPr>
      <w:r w:rsidRPr="006F02A4">
        <w:rPr>
          <w:color w:val="002554" w:themeColor="text2"/>
        </w:rPr>
        <w:t>© The Of</w:t>
      </w:r>
      <w:r w:rsidR="002B6FEB" w:rsidRPr="006F02A4">
        <w:rPr>
          <w:color w:val="002554" w:themeColor="text2"/>
        </w:rPr>
        <w:t>fice for Students copyright 20</w:t>
      </w:r>
      <w:r w:rsidR="00F064F6" w:rsidRPr="006F02A4">
        <w:rPr>
          <w:color w:val="002554" w:themeColor="text2"/>
        </w:rPr>
        <w:t>2</w:t>
      </w:r>
      <w:r w:rsidR="00D22D87" w:rsidRPr="006F02A4">
        <w:rPr>
          <w:color w:val="002554" w:themeColor="text2"/>
        </w:rPr>
        <w:t>1</w:t>
      </w:r>
    </w:p>
    <w:p w14:paraId="30B3F836" w14:textId="77777777" w:rsidR="002B6FEB" w:rsidRPr="006F02A4" w:rsidRDefault="002B6FEB" w:rsidP="00531B3A">
      <w:pPr>
        <w:rPr>
          <w:color w:val="002554" w:themeColor="text2"/>
        </w:rPr>
      </w:pPr>
      <w:r w:rsidRPr="006F02A4">
        <w:rPr>
          <w:color w:val="002554" w:themeColor="text2"/>
        </w:rPr>
        <w:t>This publication is available under the Open Government Licence 3.0 except where it indicates that the copyright for images or text is owned elsewhere.</w:t>
      </w:r>
    </w:p>
    <w:p w14:paraId="03460C75" w14:textId="77777777" w:rsidR="008B0C6B" w:rsidRPr="00517F83" w:rsidRDefault="00531B3A" w:rsidP="00531B3A">
      <w:pPr>
        <w:rPr>
          <w:color w:val="002554" w:themeColor="text2"/>
        </w:rPr>
      </w:pPr>
      <w:r w:rsidRPr="006F02A4">
        <w:rPr>
          <w:color w:val="002554" w:themeColor="text2"/>
        </w:rPr>
        <w:t>www.nationalarchives.gov.uk/doc/open-government-licence/version/3/</w:t>
      </w:r>
    </w:p>
    <w:sectPr w:rsidR="008B0C6B" w:rsidRPr="00517F83" w:rsidSect="003528BB">
      <w:headerReference w:type="default" r:id="rId21"/>
      <w:footerReference w:type="default" r:id="rId22"/>
      <w:pgSz w:w="11906" w:h="16838" w:code="9"/>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7F061" w14:textId="77777777" w:rsidR="0016198C" w:rsidRDefault="0016198C" w:rsidP="007906A2">
      <w:pPr>
        <w:spacing w:after="0" w:line="240" w:lineRule="auto"/>
      </w:pPr>
      <w:r>
        <w:separator/>
      </w:r>
    </w:p>
  </w:endnote>
  <w:endnote w:type="continuationSeparator" w:id="0">
    <w:p w14:paraId="3C921ACD" w14:textId="77777777" w:rsidR="0016198C" w:rsidRDefault="0016198C" w:rsidP="007906A2">
      <w:pPr>
        <w:spacing w:after="0" w:line="240" w:lineRule="auto"/>
      </w:pPr>
      <w:r>
        <w:continuationSeparator/>
      </w:r>
    </w:p>
  </w:endnote>
  <w:endnote w:type="continuationNotice" w:id="1">
    <w:p w14:paraId="40C6C229" w14:textId="77777777" w:rsidR="0016198C" w:rsidRDefault="001619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6D8E3" w14:textId="77777777" w:rsidR="00DB67F8" w:rsidRPr="000D5586" w:rsidRDefault="00DB67F8" w:rsidP="000D5586">
    <w:pPr>
      <w:pStyle w:val="Footer"/>
    </w:pPr>
    <w:r w:rsidRPr="000D5586">
      <w:fldChar w:fldCharType="begin"/>
    </w:r>
    <w:r w:rsidRPr="000D5586">
      <w:instrText xml:space="preserve"> PAGE   \* MERGEFORMAT </w:instrText>
    </w:r>
    <w:r w:rsidRPr="000D5586">
      <w:fldChar w:fldCharType="separate"/>
    </w:r>
    <w:r w:rsidR="00BB43D1">
      <w:rPr>
        <w:noProof/>
      </w:rPr>
      <w:t>5</w:t>
    </w:r>
    <w:r w:rsidRPr="000D558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982597"/>
      <w:docPartObj>
        <w:docPartGallery w:val="Page Numbers (Bottom of Page)"/>
        <w:docPartUnique/>
      </w:docPartObj>
    </w:sdtPr>
    <w:sdtEndPr>
      <w:rPr>
        <w:noProof/>
      </w:rPr>
    </w:sdtEndPr>
    <w:sdtContent>
      <w:p w14:paraId="44591CB1" w14:textId="77777777" w:rsidR="00B259A8" w:rsidRDefault="00B05134">
        <w:pPr>
          <w:pStyle w:val="Footer"/>
        </w:pPr>
      </w:p>
    </w:sdtContent>
  </w:sdt>
  <w:p w14:paraId="29AE7EF4" w14:textId="77777777" w:rsidR="00B259A8" w:rsidRDefault="00B259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085025"/>
      <w:docPartObj>
        <w:docPartGallery w:val="Page Numbers (Bottom of Page)"/>
        <w:docPartUnique/>
      </w:docPartObj>
    </w:sdtPr>
    <w:sdtEndPr>
      <w:rPr>
        <w:noProof/>
      </w:rPr>
    </w:sdtEndPr>
    <w:sdtContent>
      <w:p w14:paraId="4A232325" w14:textId="77777777" w:rsidR="00B259A8" w:rsidRDefault="00B259A8">
        <w:pPr>
          <w:pStyle w:val="Footer"/>
        </w:pPr>
        <w:r>
          <w:fldChar w:fldCharType="begin"/>
        </w:r>
        <w:r>
          <w:instrText xml:space="preserve"> PAGE   \* MERGEFORMAT </w:instrText>
        </w:r>
        <w:r>
          <w:fldChar w:fldCharType="separate"/>
        </w:r>
        <w:r>
          <w:rPr>
            <w:noProof/>
          </w:rPr>
          <w:t>2</w:t>
        </w:r>
        <w:r>
          <w:rPr>
            <w:noProof/>
          </w:rPr>
          <w:fldChar w:fldCharType="end"/>
        </w:r>
      </w:p>
    </w:sdtContent>
  </w:sdt>
  <w:p w14:paraId="410822E0" w14:textId="77777777" w:rsidR="00B259A8" w:rsidRDefault="00B259A8">
    <w:pPr>
      <w:pStyle w:val="Footer"/>
    </w:pPr>
  </w:p>
  <w:p w14:paraId="2A539456" w14:textId="77777777" w:rsidR="00CA1009" w:rsidRDefault="00CA100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45D3" w14:textId="77777777" w:rsidR="00DB67F8" w:rsidRPr="003528BB" w:rsidRDefault="00DB67F8" w:rsidP="00352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B2F5A" w14:textId="77777777" w:rsidR="0016198C" w:rsidRDefault="0016198C" w:rsidP="007906A2">
      <w:pPr>
        <w:spacing w:after="0" w:line="240" w:lineRule="auto"/>
      </w:pPr>
      <w:r>
        <w:separator/>
      </w:r>
    </w:p>
  </w:footnote>
  <w:footnote w:type="continuationSeparator" w:id="0">
    <w:p w14:paraId="112BD9A9" w14:textId="77777777" w:rsidR="0016198C" w:rsidRDefault="0016198C" w:rsidP="007906A2">
      <w:pPr>
        <w:spacing w:after="0" w:line="240" w:lineRule="auto"/>
      </w:pPr>
      <w:r>
        <w:continuationSeparator/>
      </w:r>
    </w:p>
  </w:footnote>
  <w:footnote w:type="continuationNotice" w:id="1">
    <w:p w14:paraId="5E98EAC7" w14:textId="77777777" w:rsidR="0016198C" w:rsidRDefault="0016198C">
      <w:pPr>
        <w:spacing w:after="0" w:line="240" w:lineRule="auto"/>
      </w:pPr>
    </w:p>
  </w:footnote>
  <w:footnote w:id="2">
    <w:p w14:paraId="68C02C6D" w14:textId="77777777" w:rsidR="00A410D7" w:rsidRDefault="00A410D7" w:rsidP="00A410D7">
      <w:pPr>
        <w:pStyle w:val="FootnoteText"/>
      </w:pPr>
      <w:r>
        <w:rPr>
          <w:rStyle w:val="FootnoteReference"/>
        </w:rPr>
        <w:footnoteRef/>
      </w:r>
      <w:r>
        <w:t xml:space="preserve"> </w:t>
      </w:r>
      <w:r w:rsidRPr="00B24B5F">
        <w:t xml:space="preserve">For the purposes of this publication, higher education institutions are those institutions that were previously funded by the Higher Education Funding Council for England (HEFCE) and were required to submit annual TRAC returns </w:t>
      </w:r>
      <w:r>
        <w:t xml:space="preserve">to the Office for Students </w:t>
      </w:r>
      <w:r w:rsidRPr="00B24B5F">
        <w:t>for 201</w:t>
      </w:r>
      <w:r>
        <w:t>9</w:t>
      </w:r>
      <w:r w:rsidRPr="00B24B5F">
        <w:t>-</w:t>
      </w:r>
      <w:r>
        <w:t>20</w:t>
      </w:r>
      <w:r w:rsidRPr="00B24B5F">
        <w:t>; and higher education institutions funded by the Scottish Funding Council</w:t>
      </w:r>
      <w:r>
        <w:t xml:space="preserve"> (SFC)</w:t>
      </w:r>
      <w:r w:rsidRPr="00B24B5F">
        <w:t>, Higher Education Funding Council for Wales</w:t>
      </w:r>
      <w:r>
        <w:t xml:space="preserve"> (HEFCW)</w:t>
      </w:r>
      <w:r w:rsidRPr="00B24B5F">
        <w:t xml:space="preserve"> and the Department for the Economy (Northern Ireland).</w:t>
      </w:r>
    </w:p>
  </w:footnote>
  <w:footnote w:id="3">
    <w:p w14:paraId="2F75486F" w14:textId="707C8366" w:rsidR="00A410D7" w:rsidRDefault="00A410D7" w:rsidP="00A410D7">
      <w:pPr>
        <w:pStyle w:val="FootnoteText"/>
      </w:pPr>
      <w:r>
        <w:rPr>
          <w:rStyle w:val="FootnoteReference"/>
        </w:rPr>
        <w:footnoteRef/>
      </w:r>
      <w:r>
        <w:t xml:space="preserve"> TRAC guidance for 2019-20 (version 2.5) July 2020, revised September 2020 is available at:</w:t>
      </w:r>
      <w:r w:rsidR="001C3A0E">
        <w:t xml:space="preserve"> </w:t>
      </w:r>
      <w:hyperlink r:id="rId1" w:history="1">
        <w:r w:rsidR="00FD2802">
          <w:rPr>
            <w:rStyle w:val="Hyperlink"/>
          </w:rPr>
          <w:t>www.trac.ac.uk/tracguidance/</w:t>
        </w:r>
      </w:hyperlink>
      <w:r w:rsidR="001C3A0E">
        <w:t>.</w:t>
      </w:r>
    </w:p>
  </w:footnote>
  <w:footnote w:id="4">
    <w:p w14:paraId="7F5B4092" w14:textId="214E988F" w:rsidR="008E55A1" w:rsidRDefault="008E55A1">
      <w:pPr>
        <w:pStyle w:val="FootnoteText"/>
      </w:pPr>
      <w:r>
        <w:rPr>
          <w:rStyle w:val="FootnoteReference"/>
        </w:rPr>
        <w:footnoteRef/>
      </w:r>
      <w:r>
        <w:t xml:space="preserve"> </w:t>
      </w:r>
      <w:r w:rsidR="00D244C6" w:rsidRPr="00EA4482">
        <w:t>Analysis of the annual TRAC data for</w:t>
      </w:r>
      <w:r w:rsidR="00FA7843">
        <w:t xml:space="preserve"> </w:t>
      </w:r>
      <w:r w:rsidR="00D244C6" w:rsidRPr="00EA4482">
        <w:t>2016-17</w:t>
      </w:r>
      <w:r w:rsidR="00D244C6">
        <w:t xml:space="preserve"> is available at</w:t>
      </w:r>
      <w:r>
        <w:t xml:space="preserve"> </w:t>
      </w:r>
      <w:hyperlink r:id="rId2" w:tgtFrame="_blank" w:history="1">
        <w:r w:rsidR="00A4447D" w:rsidRPr="00E246A7">
          <w:rPr>
            <w:u w:val="single"/>
          </w:rPr>
          <w:t>www.officeforstudents.org.uk/data-and-analysis/trac-data/published-data-2016-17/</w:t>
        </w:r>
      </w:hyperlink>
      <w:r w:rsidR="00A4447D">
        <w:t>.</w:t>
      </w:r>
    </w:p>
  </w:footnote>
  <w:footnote w:id="5">
    <w:p w14:paraId="2ED3AA23" w14:textId="0ECF940C" w:rsidR="008E55A1" w:rsidRDefault="008E55A1">
      <w:pPr>
        <w:pStyle w:val="FootnoteText"/>
      </w:pPr>
      <w:r>
        <w:rPr>
          <w:rStyle w:val="FootnoteReference"/>
        </w:rPr>
        <w:footnoteRef/>
      </w:r>
      <w:r>
        <w:t xml:space="preserve"> </w:t>
      </w:r>
      <w:r w:rsidR="00D244C6" w:rsidRPr="00EA4482">
        <w:t>Analysis of the annual TRAC data for</w:t>
      </w:r>
      <w:r w:rsidR="00FA7843">
        <w:t xml:space="preserve"> </w:t>
      </w:r>
      <w:r w:rsidR="00D244C6" w:rsidRPr="00EA4482">
        <w:t>201</w:t>
      </w:r>
      <w:r w:rsidR="00D244C6">
        <w:t>7</w:t>
      </w:r>
      <w:r w:rsidR="00D244C6" w:rsidRPr="00EA4482">
        <w:t>-1</w:t>
      </w:r>
      <w:r w:rsidR="00D244C6">
        <w:t xml:space="preserve">8 is available at </w:t>
      </w:r>
      <w:hyperlink r:id="rId3" w:tgtFrame="_blank" w:history="1">
        <w:r w:rsidR="00A4447D" w:rsidRPr="00E246A7">
          <w:rPr>
            <w:u w:val="single"/>
          </w:rPr>
          <w:t>www.officeforstudents.org.uk/publications/annual-trac-2017-18/</w:t>
        </w:r>
      </w:hyperlink>
      <w:r w:rsidR="00A4447D">
        <w:t>.</w:t>
      </w:r>
    </w:p>
  </w:footnote>
  <w:footnote w:id="6">
    <w:p w14:paraId="42056A22" w14:textId="5A9D00D2" w:rsidR="00695419" w:rsidRDefault="00695419">
      <w:pPr>
        <w:pStyle w:val="FootnoteText"/>
      </w:pPr>
      <w:r>
        <w:rPr>
          <w:rStyle w:val="FootnoteReference"/>
        </w:rPr>
        <w:footnoteRef/>
      </w:r>
      <w:r>
        <w:t xml:space="preserve"> </w:t>
      </w:r>
      <w:r w:rsidR="00D244C6" w:rsidRPr="00EA4482">
        <w:t>Analysis of the annual TRAC data for</w:t>
      </w:r>
      <w:r w:rsidR="00FA7843">
        <w:t xml:space="preserve"> </w:t>
      </w:r>
      <w:r w:rsidR="00D244C6" w:rsidRPr="00EA4482">
        <w:t>201</w:t>
      </w:r>
      <w:r w:rsidR="00D244C6">
        <w:t>8</w:t>
      </w:r>
      <w:r w:rsidR="00D244C6" w:rsidRPr="00EA4482">
        <w:t>-1</w:t>
      </w:r>
      <w:r w:rsidR="00D244C6">
        <w:t xml:space="preserve">9 is available at </w:t>
      </w:r>
      <w:hyperlink r:id="rId4" w:history="1">
        <w:r w:rsidR="00FA7843" w:rsidRPr="00FA7843">
          <w:rPr>
            <w:rStyle w:val="Hyperlink"/>
          </w:rPr>
          <w:t>www.officeforstudents.org.uk/publications/annual-trac-2018-19/</w:t>
        </w:r>
      </w:hyperlink>
      <w:r w:rsidR="00FA7843">
        <w:t>.</w:t>
      </w:r>
    </w:p>
  </w:footnote>
  <w:footnote w:id="7">
    <w:p w14:paraId="4168A74F" w14:textId="650A617D" w:rsidR="00A410D7" w:rsidRDefault="00A410D7" w:rsidP="00A410D7">
      <w:pPr>
        <w:pStyle w:val="FootnoteText"/>
      </w:pPr>
      <w:r>
        <w:rPr>
          <w:rStyle w:val="FootnoteReference"/>
        </w:rPr>
        <w:footnoteRef/>
      </w:r>
      <w:r>
        <w:t xml:space="preserve"> </w:t>
      </w:r>
      <w:r w:rsidRPr="003F2F03">
        <w:t xml:space="preserve">The </w:t>
      </w:r>
      <w:r w:rsidRPr="00D62A78">
        <w:t>133</w:t>
      </w:r>
      <w:r w:rsidR="007E2BA1">
        <w:t xml:space="preserve"> higher education institutions</w:t>
      </w:r>
      <w:r w:rsidR="00B03A04">
        <w:t xml:space="preserve"> in England and Northern Ireland comprise: 130</w:t>
      </w:r>
      <w:r w:rsidRPr="00D62A78">
        <w:t xml:space="preserve"> higher</w:t>
      </w:r>
      <w:r>
        <w:t xml:space="preserve"> education institutions that </w:t>
      </w:r>
      <w:r w:rsidRPr="006B22DB">
        <w:t xml:space="preserve">were </w:t>
      </w:r>
      <w:r w:rsidRPr="00F62E76">
        <w:t>previously funded by HEFCE in 2017</w:t>
      </w:r>
      <w:r>
        <w:noBreakHyphen/>
      </w:r>
      <w:r w:rsidRPr="00F62E76">
        <w:t xml:space="preserve">18 and are now funded by the </w:t>
      </w:r>
      <w:proofErr w:type="spellStart"/>
      <w:r w:rsidRPr="00F62E76">
        <w:t>Of</w:t>
      </w:r>
      <w:r w:rsidR="00C9761D">
        <w:t>S</w:t>
      </w:r>
      <w:proofErr w:type="spellEnd"/>
      <w:r w:rsidR="00264378">
        <w:t>;</w:t>
      </w:r>
      <w:r>
        <w:t xml:space="preserve"> </w:t>
      </w:r>
      <w:r w:rsidRPr="006B22DB">
        <w:t>one</w:t>
      </w:r>
      <w:r w:rsidR="00861F29">
        <w:t xml:space="preserve"> </w:t>
      </w:r>
      <w:r w:rsidRPr="006B22DB">
        <w:t xml:space="preserve">provider that implemented TRAC for </w:t>
      </w:r>
      <w:r>
        <w:t xml:space="preserve">reporting from </w:t>
      </w:r>
      <w:r w:rsidRPr="006B22DB">
        <w:t>2018-19</w:t>
      </w:r>
      <w:r w:rsidR="00481682">
        <w:t>;</w:t>
      </w:r>
      <w:r>
        <w:t xml:space="preserve"> </w:t>
      </w:r>
      <w:r w:rsidRPr="006B22DB">
        <w:t>and two higher education institutions funded by the Department</w:t>
      </w:r>
      <w:r w:rsidRPr="003F2F03">
        <w:t xml:space="preserve"> for the Economy, Northern Ireland</w:t>
      </w:r>
      <w:r w:rsidRPr="006B22DB">
        <w:t>.</w:t>
      </w:r>
    </w:p>
  </w:footnote>
  <w:footnote w:id="8">
    <w:p w14:paraId="66E76B7F" w14:textId="13B1DCC3" w:rsidR="00A410D7" w:rsidRDefault="00A410D7" w:rsidP="00A410D7">
      <w:pPr>
        <w:pStyle w:val="FootnoteText"/>
      </w:pPr>
      <w:r>
        <w:rPr>
          <w:rStyle w:val="FootnoteReference"/>
        </w:rPr>
        <w:footnoteRef/>
      </w:r>
      <w:r>
        <w:t xml:space="preserve"> Available at </w:t>
      </w:r>
      <w:hyperlink r:id="rId5" w:history="1">
        <w:r w:rsidR="00D31D7F" w:rsidRPr="00D31D7F">
          <w:rPr>
            <w:rStyle w:val="Hyperlink"/>
          </w:rPr>
          <w:t>www.officeforstudents.org.uk/data-and-analysis/trac-data/published-data-2019-20/</w:t>
        </w:r>
      </w:hyperlink>
      <w:r w:rsidR="00A735ED">
        <w:t>.</w:t>
      </w:r>
    </w:p>
  </w:footnote>
  <w:footnote w:id="9">
    <w:p w14:paraId="44ED0D69" w14:textId="77777777" w:rsidR="002E60FA" w:rsidRDefault="002E60FA" w:rsidP="002E60FA">
      <w:pPr>
        <w:pStyle w:val="FootnoteText"/>
      </w:pPr>
      <w:r>
        <w:rPr>
          <w:rStyle w:val="FootnoteReference"/>
        </w:rPr>
        <w:footnoteRef/>
      </w:r>
      <w:r>
        <w:t xml:space="preserve"> TRAC full economic costs comprise the total expenditure from audited financial statements plus the sustainability adjustment: the margin for sustainability and investment (MSI).</w:t>
      </w:r>
    </w:p>
  </w:footnote>
  <w:footnote w:id="10">
    <w:p w14:paraId="21BB7601" w14:textId="4E7A155E" w:rsidR="00B644F3" w:rsidRDefault="00B644F3">
      <w:pPr>
        <w:pStyle w:val="FootnoteText"/>
      </w:pPr>
      <w:r>
        <w:rPr>
          <w:rStyle w:val="FootnoteReference"/>
        </w:rPr>
        <w:footnoteRef/>
      </w:r>
      <w:r>
        <w:t xml:space="preserve"> </w:t>
      </w:r>
      <w:r w:rsidR="007B6530">
        <w:t>Comparisons with</w:t>
      </w:r>
      <w:r w:rsidR="00BA4F47">
        <w:t xml:space="preserve"> the </w:t>
      </w:r>
      <w:r w:rsidR="00435147">
        <w:t>2018-19 data</w:t>
      </w:r>
      <w:r w:rsidR="007B22D8">
        <w:t xml:space="preserve"> </w:t>
      </w:r>
      <w:r w:rsidR="006646DE">
        <w:t xml:space="preserve">are based on the same population of </w:t>
      </w:r>
      <w:r w:rsidR="00896611">
        <w:t xml:space="preserve">institutions as </w:t>
      </w:r>
      <w:r w:rsidR="002B7ACD">
        <w:t>included for the 2019-20 analysis</w:t>
      </w:r>
      <w:r w:rsidR="00E83B57">
        <w:t xml:space="preserve"> and so </w:t>
      </w:r>
      <w:r w:rsidR="00F66557">
        <w:t>will not</w:t>
      </w:r>
      <w:r w:rsidR="002666C4">
        <w:t xml:space="preserve"> necessarily match the values </w:t>
      </w:r>
      <w:r w:rsidR="0073395F">
        <w:t>in the 2018-</w:t>
      </w:r>
      <w:r w:rsidR="008B0B8B">
        <w:t>19 report.</w:t>
      </w:r>
    </w:p>
  </w:footnote>
  <w:footnote w:id="11">
    <w:p w14:paraId="5528404C" w14:textId="1209FA7E" w:rsidR="002E60FA" w:rsidRDefault="002E60FA" w:rsidP="002E60FA">
      <w:pPr>
        <w:pStyle w:val="FootnoteText"/>
      </w:pPr>
      <w:r>
        <w:rPr>
          <w:rStyle w:val="FootnoteReference"/>
        </w:rPr>
        <w:footnoteRef/>
      </w:r>
      <w:r>
        <w:t xml:space="preserve"> The TRAC methodology makes adjustment to exclude the </w:t>
      </w:r>
      <w:r>
        <w:rPr>
          <w:rFonts w:ascii="Arial" w:hAnsi="Arial" w:cs="Arial"/>
          <w:lang w:eastAsia="en-GB"/>
        </w:rPr>
        <w:t>costs or credits attributable to the agreement of a deficit recovery plan for certain specific multi-employer defined benefit pension schemes, including the Universities Superannuation Scheme (USS)</w:t>
      </w:r>
      <w:r w:rsidR="008766EE">
        <w:rPr>
          <w:rFonts w:ascii="Arial" w:hAnsi="Arial" w:cs="Arial"/>
          <w:lang w:eastAsia="en-GB"/>
        </w:rPr>
        <w:t>. This is</w:t>
      </w:r>
      <w:r w:rsidDel="008766EE">
        <w:rPr>
          <w:rFonts w:ascii="Arial" w:hAnsi="Arial" w:cs="Arial"/>
          <w:lang w:eastAsia="en-GB"/>
        </w:rPr>
        <w:t xml:space="preserve"> </w:t>
      </w:r>
      <w:r>
        <w:rPr>
          <w:rFonts w:ascii="Arial" w:hAnsi="Arial" w:cs="Arial"/>
          <w:lang w:eastAsia="en-GB"/>
        </w:rPr>
        <w:t>to avoid the potential distorting effect of large charges (and potential credits) caused by triennial reassessment of multi-employer pension scheme recovery plans (such as the USS, the Superannuation Arrangements for the University of London (SAUL) and University of Oxford Staff Pension Scheme (OSPS)). This is addressed by replacing the financial accounting charges with the annual cash contributions (which include deficit contributions) to the pension scheme in question. The FRS102 accounting for USS, SAUL and OSPS is different to other defined benefit pension schemes, which is why this adjustment is necessary for these schemes but not for other defined benefit schemes.</w:t>
      </w:r>
    </w:p>
  </w:footnote>
  <w:footnote w:id="12">
    <w:p w14:paraId="485B79C0" w14:textId="77777777" w:rsidR="001764D5" w:rsidRDefault="001764D5" w:rsidP="001764D5">
      <w:pPr>
        <w:pStyle w:val="FootnoteText"/>
      </w:pPr>
      <w:r>
        <w:rPr>
          <w:rStyle w:val="FootnoteReference"/>
        </w:rPr>
        <w:footnoteRef/>
      </w:r>
      <w:r>
        <w:t xml:space="preserve"> </w:t>
      </w:r>
      <w:r w:rsidRPr="00540031">
        <w:t>Definitions for this table can be found on page 6. Figures in this and subsequent tables may not sum because of rounding.</w:t>
      </w:r>
    </w:p>
  </w:footnote>
  <w:footnote w:id="13">
    <w:p w14:paraId="52A3710F" w14:textId="77777777" w:rsidR="002D6759" w:rsidRDefault="002D6759" w:rsidP="002D6759">
      <w:pPr>
        <w:pStyle w:val="FootnoteText"/>
      </w:pPr>
      <w:r>
        <w:rPr>
          <w:rStyle w:val="FootnoteReference"/>
        </w:rPr>
        <w:footnoteRef/>
      </w:r>
      <w:r>
        <w:t xml:space="preserve"> Data does not include postgraduate students at institutions that apply dispensation from the TRAC requirements.</w:t>
      </w:r>
    </w:p>
  </w:footnote>
  <w:footnote w:id="14">
    <w:p w14:paraId="3B52FF79" w14:textId="39505017" w:rsidR="00BB3E81" w:rsidRDefault="00BB3E81" w:rsidP="00BB3E81">
      <w:pPr>
        <w:pStyle w:val="FootnoteText"/>
      </w:pPr>
      <w:r>
        <w:rPr>
          <w:rStyle w:val="FootnoteReference"/>
        </w:rPr>
        <w:footnoteRef/>
      </w:r>
      <w:r>
        <w:t xml:space="preserve"> </w:t>
      </w:r>
      <w:r w:rsidR="000240A2">
        <w:t>See Annex 4.1a of t</w:t>
      </w:r>
      <w:r>
        <w:t>he TRAC guidance</w:t>
      </w:r>
      <w:r w:rsidR="000240A2">
        <w:t>,</w:t>
      </w:r>
      <w:r>
        <w:t xml:space="preserve"> available at </w:t>
      </w:r>
      <w:hyperlink r:id="rId6" w:history="1">
        <w:r w:rsidRPr="00D15B27">
          <w:rPr>
            <w:rStyle w:val="Hyperlink"/>
          </w:rPr>
          <w:t>www.trac.ac.uk/tracguidance/</w:t>
        </w:r>
      </w:hyperlink>
      <w:r>
        <w:t>.</w:t>
      </w:r>
    </w:p>
  </w:footnote>
  <w:footnote w:id="15">
    <w:p w14:paraId="6930DC9F" w14:textId="00A89F43" w:rsidR="000240A2" w:rsidRDefault="000240A2">
      <w:pPr>
        <w:pStyle w:val="FootnoteText"/>
      </w:pPr>
      <w:r>
        <w:rPr>
          <w:rStyle w:val="FootnoteReference"/>
        </w:rPr>
        <w:footnoteRef/>
      </w:r>
      <w:r>
        <w:t xml:space="preserve"> </w:t>
      </w:r>
      <w:r w:rsidR="00D913F8">
        <w:t>S</w:t>
      </w:r>
      <w:r>
        <w:t xml:space="preserve">ee Annex 3.2a of the TRAC guidance, available at </w:t>
      </w:r>
      <w:hyperlink r:id="rId7" w:history="1">
        <w:r w:rsidRPr="00D15B27">
          <w:rPr>
            <w:rStyle w:val="Hyperlink"/>
          </w:rPr>
          <w:t>www.trac.ac.uk/tracguidance/</w:t>
        </w:r>
      </w:hyperlink>
      <w:r>
        <w:t>.</w:t>
      </w:r>
    </w:p>
  </w:footnote>
  <w:footnote w:id="16">
    <w:p w14:paraId="350684A9" w14:textId="3D6C5BC8" w:rsidR="005C5A23" w:rsidRDefault="005C5A23" w:rsidP="005C5A23">
      <w:pPr>
        <w:pStyle w:val="FootnoteText"/>
      </w:pPr>
      <w:r>
        <w:rPr>
          <w:rStyle w:val="FootnoteReference"/>
        </w:rPr>
        <w:footnoteRef/>
      </w:r>
      <w:r>
        <w:t xml:space="preserve"> </w:t>
      </w:r>
      <w:r w:rsidR="00D913F8">
        <w:t>See Annex 4.1a of t</w:t>
      </w:r>
      <w:r>
        <w:t>he TRAC guidance</w:t>
      </w:r>
      <w:r w:rsidR="00D913F8">
        <w:t>,</w:t>
      </w:r>
      <w:r>
        <w:t xml:space="preserve"> available at </w:t>
      </w:r>
      <w:hyperlink r:id="rId8" w:history="1">
        <w:r w:rsidRPr="00D15B27">
          <w:rPr>
            <w:rStyle w:val="Hyperlink"/>
          </w:rPr>
          <w:t>www.trac.ac.uk/tracguidance/</w:t>
        </w:r>
      </w:hyperlink>
      <w:r>
        <w:t>.</w:t>
      </w:r>
    </w:p>
  </w:footnote>
  <w:footnote w:id="17">
    <w:p w14:paraId="3C278626" w14:textId="644383F1" w:rsidR="00D913F8" w:rsidRDefault="00D913F8">
      <w:pPr>
        <w:pStyle w:val="FootnoteText"/>
      </w:pPr>
      <w:r>
        <w:rPr>
          <w:rStyle w:val="FootnoteReference"/>
        </w:rPr>
        <w:footnoteRef/>
      </w:r>
      <w:r>
        <w:t xml:space="preserve"> See Annex 3.2a of the TRAC guidance, available at </w:t>
      </w:r>
      <w:hyperlink r:id="rId9" w:history="1">
        <w:r w:rsidRPr="00D15B27">
          <w:rPr>
            <w:rStyle w:val="Hyperlink"/>
          </w:rPr>
          <w:t>www.trac.ac.uk/tracguidance/</w:t>
        </w:r>
      </w:hyperlink>
      <w:r>
        <w:t>.</w:t>
      </w:r>
    </w:p>
  </w:footnote>
  <w:footnote w:id="18">
    <w:p w14:paraId="49222AD4" w14:textId="571B3C9B" w:rsidR="00F538C3" w:rsidRDefault="00F538C3" w:rsidP="00F538C3">
      <w:pPr>
        <w:pStyle w:val="FootnoteText"/>
      </w:pPr>
      <w:r>
        <w:rPr>
          <w:rStyle w:val="FootnoteReference"/>
        </w:rPr>
        <w:footnoteRef/>
      </w:r>
      <w:r>
        <w:t xml:space="preserve"> Available at </w:t>
      </w:r>
      <w:hyperlink r:id="rId10" w:history="1">
        <w:r w:rsidR="001A5380" w:rsidRPr="00F45F7B">
          <w:rPr>
            <w:rStyle w:val="Hyperlink"/>
          </w:rPr>
          <w:t>www.officeforstudents.org.uk/data-and-analysis/trac-data/published-data-2019-20/</w:t>
        </w:r>
      </w:hyperlink>
      <w:r w:rsidRPr="00F45F7B">
        <w:t>.</w:t>
      </w:r>
    </w:p>
  </w:footnote>
  <w:footnote w:id="19">
    <w:p w14:paraId="3ED1DA56" w14:textId="77777777" w:rsidR="00F538C3" w:rsidRDefault="00F538C3" w:rsidP="00F538C3">
      <w:pPr>
        <w:pStyle w:val="FootnoteText"/>
      </w:pPr>
      <w:r>
        <w:rPr>
          <w:rStyle w:val="FootnoteReference"/>
        </w:rPr>
        <w:footnoteRef/>
      </w:r>
      <w:r>
        <w:t xml:space="preserve"> </w:t>
      </w:r>
      <w:r w:rsidRPr="009A07F1">
        <w:t xml:space="preserve">A list of higher education institutions </w:t>
      </w:r>
      <w:r>
        <w:t xml:space="preserve">and the criteria used in </w:t>
      </w:r>
      <w:r w:rsidRPr="009A07F1">
        <w:t>defining each peer group can be found at Annex 4.1b</w:t>
      </w:r>
      <w:r>
        <w:t xml:space="preserve"> of the TRAC guidance, available at:</w:t>
      </w:r>
      <w:r w:rsidRPr="00672088">
        <w:t xml:space="preserve"> </w:t>
      </w:r>
      <w:hyperlink r:id="rId11" w:history="1">
        <w:r w:rsidRPr="008D5E1E">
          <w:rPr>
            <w:rStyle w:val="Hyperlink"/>
          </w:rPr>
          <w:t>www.trac.ac.uk/tracguidance/</w:t>
        </w:r>
      </w:hyperlink>
      <w:r>
        <w:t>.</w:t>
      </w:r>
    </w:p>
  </w:footnote>
  <w:footnote w:id="20">
    <w:p w14:paraId="13B1EE7C" w14:textId="68B755A3" w:rsidR="00F538C3" w:rsidRDefault="00F538C3" w:rsidP="00F538C3">
      <w:pPr>
        <w:pStyle w:val="FootnoteText"/>
      </w:pPr>
      <w:r>
        <w:rPr>
          <w:rStyle w:val="FootnoteReference"/>
        </w:rPr>
        <w:footnoteRef/>
      </w:r>
      <w:r>
        <w:t xml:space="preserve"> The Review of TRAC was commissioned by the Office for Students working with UK Research and Innovation and the higher education funding bodies for Northern Ireland, </w:t>
      </w:r>
      <w:proofErr w:type="gramStart"/>
      <w:r>
        <w:t>Scotland</w:t>
      </w:r>
      <w:proofErr w:type="gramEnd"/>
      <w:r>
        <w:t xml:space="preserve"> and Wales.</w:t>
      </w:r>
      <w:r w:rsidR="00481682">
        <w:t xml:space="preserve"> </w:t>
      </w:r>
      <w:r>
        <w:t xml:space="preserve">Further information is available on the </w:t>
      </w:r>
      <w:proofErr w:type="spellStart"/>
      <w:r>
        <w:t>OfS</w:t>
      </w:r>
      <w:proofErr w:type="spellEnd"/>
      <w:r>
        <w:t xml:space="preserve"> website </w:t>
      </w:r>
      <w:r w:rsidR="00257965">
        <w:t xml:space="preserve">at </w:t>
      </w:r>
      <w:hyperlink r:id="rId12" w:history="1">
        <w:r w:rsidR="00257965">
          <w:rPr>
            <w:rStyle w:val="Hyperlink"/>
          </w:rPr>
          <w:t>www.officeforstudents.org.uk/advice-and-guidance/partnerships-and-collaboration/financial-sustainability-and-trac/review-of-trac/</w:t>
        </w:r>
      </w:hyperlink>
      <w:r w:rsidR="0025796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4139" w14:textId="744511A4" w:rsidR="00C616CE" w:rsidRPr="006866D3" w:rsidRDefault="000A56CF">
    <w:pPr>
      <w:pStyle w:val="Header"/>
      <w:rPr>
        <w:color w:val="BE3A34"/>
      </w:rPr>
    </w:pPr>
    <w:r w:rsidRPr="006866D3">
      <w:rPr>
        <w:noProof/>
        <w:color w:val="BE3A34"/>
        <w:lang w:eastAsia="en-GB"/>
      </w:rPr>
      <w:drawing>
        <wp:anchor distT="0" distB="0" distL="114300" distR="114300" simplePos="0" relativeHeight="251658241" behindDoc="1" locked="0" layoutInCell="1" allowOverlap="1" wp14:anchorId="4D861809" wp14:editId="6FFA31BB">
          <wp:simplePos x="0" y="0"/>
          <wp:positionH relativeFrom="page">
            <wp:posOffset>0</wp:posOffset>
          </wp:positionH>
          <wp:positionV relativeFrom="margin">
            <wp:posOffset>-714071</wp:posOffset>
          </wp:positionV>
          <wp:extent cx="7556500" cy="10690226"/>
          <wp:effectExtent l="0" t="0" r="6350" b="0"/>
          <wp:wrapNone/>
          <wp:docPr id="2" name="Picture 2" descr="front cover image with grey shading and Of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ront cover image with grey shading and OfS logo">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500" cy="10690226"/>
                  </a:xfrm>
                  <a:prstGeom prst="rect">
                    <a:avLst/>
                  </a:prstGeom>
                </pic:spPr>
              </pic:pic>
            </a:graphicData>
          </a:graphic>
          <wp14:sizeRelH relativeFrom="margin">
            <wp14:pctWidth>0</wp14:pctWidth>
          </wp14:sizeRelH>
          <wp14:sizeRelV relativeFrom="margin">
            <wp14:pctHeight>0</wp14:pctHeight>
          </wp14:sizeRelV>
        </wp:anchor>
      </w:drawing>
    </w:r>
  </w:p>
  <w:p w14:paraId="6AE87D9F" w14:textId="6D88FCCB" w:rsidR="00DB67F8" w:rsidRDefault="00DB67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5D004" w14:textId="18C2AC67" w:rsidR="00D03819" w:rsidRDefault="00D03819" w:rsidP="00D038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4FC8" w14:textId="77777777" w:rsidR="00DB67F8" w:rsidRDefault="00DB67F8">
    <w:pPr>
      <w:pStyle w:val="Header"/>
    </w:pPr>
    <w:r>
      <w:rPr>
        <w:noProof/>
        <w:lang w:eastAsia="en-GB"/>
      </w:rPr>
      <w:drawing>
        <wp:anchor distT="0" distB="0" distL="114300" distR="114300" simplePos="0" relativeHeight="251658240" behindDoc="1" locked="0" layoutInCell="1" allowOverlap="1" wp14:anchorId="0399F954" wp14:editId="28B1EE10">
          <wp:simplePos x="0" y="0"/>
          <wp:positionH relativeFrom="column">
            <wp:posOffset>-708991</wp:posOffset>
          </wp:positionH>
          <wp:positionV relativeFrom="page">
            <wp:posOffset>1905</wp:posOffset>
          </wp:positionV>
          <wp:extent cx="7549767" cy="10680700"/>
          <wp:effectExtent l="0" t="0" r="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767" cy="10680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3CB6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8AB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080B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14C7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06AF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A65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A2E2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B60C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F6D0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2209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A033C"/>
    <w:multiLevelType w:val="hybridMultilevel"/>
    <w:tmpl w:val="8EA4BE9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03522000"/>
    <w:multiLevelType w:val="hybridMultilevel"/>
    <w:tmpl w:val="815AC0C0"/>
    <w:lvl w:ilvl="0" w:tplc="19AC27E2">
      <w:start w:val="1"/>
      <w:numFmt w:val="bullet"/>
      <w:pStyle w:val="Boxedblue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08990C77"/>
    <w:multiLevelType w:val="hybridMultilevel"/>
    <w:tmpl w:val="010681BA"/>
    <w:lvl w:ilvl="0" w:tplc="ADD42B5E">
      <w:start w:val="1"/>
      <w:numFmt w:val="bullet"/>
      <w:lvlText w:val=""/>
      <w:lvlJc w:val="left"/>
      <w:pPr>
        <w:ind w:left="720" w:hanging="360"/>
      </w:pPr>
      <w:rPr>
        <w:rFonts w:ascii="Symbol" w:hAnsi="Symbol" w:hint="default"/>
        <w:color w:val="auto"/>
      </w:rPr>
    </w:lvl>
    <w:lvl w:ilvl="1" w:tplc="22683826">
      <w:start w:val="6"/>
      <w:numFmt w:val="bullet"/>
      <w:pStyle w:val="Bullet2"/>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2C3A20"/>
    <w:multiLevelType w:val="hybridMultilevel"/>
    <w:tmpl w:val="9B603900"/>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4EC4757"/>
    <w:multiLevelType w:val="hybridMultilevel"/>
    <w:tmpl w:val="618805EC"/>
    <w:lvl w:ilvl="0" w:tplc="793A4468">
      <w:start w:val="1"/>
      <w:numFmt w:val="decimal"/>
      <w:pStyle w:val="Boxedbluenumbered"/>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1AB5445E"/>
    <w:multiLevelType w:val="hybridMultilevel"/>
    <w:tmpl w:val="142C4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F33DDC"/>
    <w:multiLevelType w:val="hybridMultilevel"/>
    <w:tmpl w:val="AE4C3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6A644F"/>
    <w:multiLevelType w:val="hybridMultilevel"/>
    <w:tmpl w:val="FA367BD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EE42C95"/>
    <w:multiLevelType w:val="hybridMultilevel"/>
    <w:tmpl w:val="F7C84D06"/>
    <w:lvl w:ilvl="0" w:tplc="5ACC9B02">
      <w:start w:val="1"/>
      <w:numFmt w:val="bullet"/>
      <w:pStyle w:val="Bullet1"/>
      <w:lvlText w:val=""/>
      <w:lvlJc w:val="left"/>
      <w:pPr>
        <w:ind w:left="1288" w:hanging="360"/>
      </w:pPr>
      <w:rPr>
        <w:rFonts w:ascii="Symbol" w:hAnsi="Symbol" w:hint="default"/>
        <w:color w:val="auto"/>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9" w15:restartNumberingAfterBreak="0">
    <w:nsid w:val="3C61052B"/>
    <w:multiLevelType w:val="multilevel"/>
    <w:tmpl w:val="CB30A5FE"/>
    <w:lvl w:ilvl="0">
      <w:start w:val="1"/>
      <w:numFmt w:val="decimal"/>
      <w:pStyle w:val="Boxedyellow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6364F09"/>
    <w:multiLevelType w:val="hybridMultilevel"/>
    <w:tmpl w:val="AD80AA1C"/>
    <w:lvl w:ilvl="0" w:tplc="08090001">
      <w:start w:val="1"/>
      <w:numFmt w:val="bullet"/>
      <w:lvlText w:val=""/>
      <w:lvlJc w:val="left"/>
      <w:pPr>
        <w:ind w:left="360" w:hanging="360"/>
      </w:pPr>
      <w:rPr>
        <w:rFonts w:ascii="Symbol" w:hAnsi="Symbol" w:hint="default"/>
      </w:rPr>
    </w:lvl>
    <w:lvl w:ilvl="1" w:tplc="F6942CAC">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B745D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40166ED"/>
    <w:multiLevelType w:val="hybridMultilevel"/>
    <w:tmpl w:val="68587E2C"/>
    <w:lvl w:ilvl="0" w:tplc="905A6058">
      <w:start w:val="1"/>
      <w:numFmt w:val="decimal"/>
      <w:pStyle w:val="Numberedtext1"/>
      <w:lvlText w:val="%1."/>
      <w:lvlJc w:val="left"/>
      <w:pPr>
        <w:ind w:left="720" w:hanging="360"/>
      </w:pPr>
    </w:lvl>
    <w:lvl w:ilvl="1" w:tplc="F6942CAC">
      <w:start w:val="1"/>
      <w:numFmt w:val="lowerLetter"/>
      <w:pStyle w:val="Numberedtext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AB6928"/>
    <w:multiLevelType w:val="hybridMultilevel"/>
    <w:tmpl w:val="F45CF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A47B1E"/>
    <w:multiLevelType w:val="hybridMultilevel"/>
    <w:tmpl w:val="DFA2D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3A6CE8"/>
    <w:multiLevelType w:val="hybridMultilevel"/>
    <w:tmpl w:val="0D584206"/>
    <w:lvl w:ilvl="0" w:tplc="08090001">
      <w:start w:val="1"/>
      <w:numFmt w:val="bullet"/>
      <w:lvlText w:val=""/>
      <w:lvlJc w:val="left"/>
      <w:pPr>
        <w:ind w:left="717" w:hanging="360"/>
      </w:pPr>
      <w:rPr>
        <w:rFonts w:ascii="Symbol" w:hAnsi="Symbol" w:hint="default"/>
      </w:rPr>
    </w:lvl>
    <w:lvl w:ilvl="1" w:tplc="08090001">
      <w:start w:val="1"/>
      <w:numFmt w:val="bullet"/>
      <w:lvlText w:val=""/>
      <w:lvlJc w:val="left"/>
      <w:pPr>
        <w:ind w:left="1437" w:hanging="360"/>
      </w:pPr>
      <w:rPr>
        <w:rFonts w:ascii="Symbol" w:hAnsi="Symbol" w:hint="default"/>
      </w:r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9"/>
  </w:num>
  <w:num w:numId="2">
    <w:abstractNumId w:val="7"/>
  </w:num>
  <w:num w:numId="3">
    <w:abstractNumId w:val="6"/>
  </w:num>
  <w:num w:numId="4">
    <w:abstractNumId w:val="5"/>
  </w:num>
  <w:num w:numId="5">
    <w:abstractNumId w:val="4"/>
  </w:num>
  <w:num w:numId="6">
    <w:abstractNumId w:val="18"/>
  </w:num>
  <w:num w:numId="7">
    <w:abstractNumId w:val="12"/>
  </w:num>
  <w:num w:numId="8">
    <w:abstractNumId w:val="22"/>
  </w:num>
  <w:num w:numId="9">
    <w:abstractNumId w:val="11"/>
  </w:num>
  <w:num w:numId="10">
    <w:abstractNumId w:val="8"/>
  </w:num>
  <w:num w:numId="11">
    <w:abstractNumId w:val="3"/>
  </w:num>
  <w:num w:numId="12">
    <w:abstractNumId w:val="2"/>
  </w:num>
  <w:num w:numId="13">
    <w:abstractNumId w:val="1"/>
  </w:num>
  <w:num w:numId="14">
    <w:abstractNumId w:val="0"/>
  </w:num>
  <w:num w:numId="15">
    <w:abstractNumId w:val="23"/>
  </w:num>
  <w:num w:numId="16">
    <w:abstractNumId w:val="14"/>
  </w:num>
  <w:num w:numId="17">
    <w:abstractNumId w:val="21"/>
  </w:num>
  <w:num w:numId="18">
    <w:abstractNumId w:val="19"/>
  </w:num>
  <w:num w:numId="19">
    <w:abstractNumId w:val="13"/>
  </w:num>
  <w:num w:numId="20">
    <w:abstractNumId w:val="25"/>
  </w:num>
  <w:num w:numId="21">
    <w:abstractNumId w:val="17"/>
  </w:num>
  <w:num w:numId="22">
    <w:abstractNumId w:val="16"/>
  </w:num>
  <w:num w:numId="23">
    <w:abstractNumId w:val="24"/>
  </w:num>
  <w:num w:numId="24">
    <w:abstractNumId w:val="20"/>
  </w:num>
  <w:num w:numId="25">
    <w:abstractNumId w:val="15"/>
  </w:num>
  <w:num w:numId="26">
    <w:abstractNumId w:val="10"/>
  </w:num>
  <w:num w:numId="27">
    <w:abstractNumId w:val="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UzNzQzNDQzMDQ3MjFV0lEKTi0uzszPAykwNKgFAHZex6QtAAAA"/>
  </w:docVars>
  <w:rsids>
    <w:rsidRoot w:val="00F064F6"/>
    <w:rsid w:val="0000257C"/>
    <w:rsid w:val="000076B4"/>
    <w:rsid w:val="00012CDF"/>
    <w:rsid w:val="00014971"/>
    <w:rsid w:val="00016A42"/>
    <w:rsid w:val="00017C3A"/>
    <w:rsid w:val="00021221"/>
    <w:rsid w:val="000224AA"/>
    <w:rsid w:val="0002348F"/>
    <w:rsid w:val="000240A2"/>
    <w:rsid w:val="0002767E"/>
    <w:rsid w:val="000423A1"/>
    <w:rsid w:val="00044C0A"/>
    <w:rsid w:val="00045D48"/>
    <w:rsid w:val="0004663E"/>
    <w:rsid w:val="00047D97"/>
    <w:rsid w:val="00050B55"/>
    <w:rsid w:val="00055CAA"/>
    <w:rsid w:val="000604E9"/>
    <w:rsid w:val="0006167B"/>
    <w:rsid w:val="00062288"/>
    <w:rsid w:val="0006239C"/>
    <w:rsid w:val="000700E5"/>
    <w:rsid w:val="0007321F"/>
    <w:rsid w:val="000741C2"/>
    <w:rsid w:val="0008376C"/>
    <w:rsid w:val="00084904"/>
    <w:rsid w:val="0008639F"/>
    <w:rsid w:val="000869BE"/>
    <w:rsid w:val="00086B31"/>
    <w:rsid w:val="00090A16"/>
    <w:rsid w:val="00090D8E"/>
    <w:rsid w:val="000921D6"/>
    <w:rsid w:val="00095112"/>
    <w:rsid w:val="00095A38"/>
    <w:rsid w:val="000967A7"/>
    <w:rsid w:val="000968EF"/>
    <w:rsid w:val="000A19CF"/>
    <w:rsid w:val="000A2BEE"/>
    <w:rsid w:val="000A3A47"/>
    <w:rsid w:val="000A492A"/>
    <w:rsid w:val="000A5287"/>
    <w:rsid w:val="000A56CF"/>
    <w:rsid w:val="000B0CEA"/>
    <w:rsid w:val="000B11AA"/>
    <w:rsid w:val="000B4BE1"/>
    <w:rsid w:val="000B6766"/>
    <w:rsid w:val="000B72E6"/>
    <w:rsid w:val="000C1639"/>
    <w:rsid w:val="000D084E"/>
    <w:rsid w:val="000D42C3"/>
    <w:rsid w:val="000D5586"/>
    <w:rsid w:val="000D7812"/>
    <w:rsid w:val="000E2725"/>
    <w:rsid w:val="000E2C41"/>
    <w:rsid w:val="000E4235"/>
    <w:rsid w:val="000E46A8"/>
    <w:rsid w:val="000E66A5"/>
    <w:rsid w:val="000E6AFC"/>
    <w:rsid w:val="000E70BB"/>
    <w:rsid w:val="000F00B5"/>
    <w:rsid w:val="000F2496"/>
    <w:rsid w:val="000F25F0"/>
    <w:rsid w:val="000F4549"/>
    <w:rsid w:val="0010422F"/>
    <w:rsid w:val="00105450"/>
    <w:rsid w:val="001145A0"/>
    <w:rsid w:val="00120ABE"/>
    <w:rsid w:val="00121BE6"/>
    <w:rsid w:val="001272CE"/>
    <w:rsid w:val="00127E96"/>
    <w:rsid w:val="0013346D"/>
    <w:rsid w:val="001337A7"/>
    <w:rsid w:val="001339C5"/>
    <w:rsid w:val="001341D3"/>
    <w:rsid w:val="00134961"/>
    <w:rsid w:val="001367D5"/>
    <w:rsid w:val="00136F05"/>
    <w:rsid w:val="00137C9E"/>
    <w:rsid w:val="00140112"/>
    <w:rsid w:val="00142709"/>
    <w:rsid w:val="001433BD"/>
    <w:rsid w:val="00147758"/>
    <w:rsid w:val="001502E9"/>
    <w:rsid w:val="00154250"/>
    <w:rsid w:val="00160964"/>
    <w:rsid w:val="0016198C"/>
    <w:rsid w:val="00164A57"/>
    <w:rsid w:val="0016531E"/>
    <w:rsid w:val="001719FC"/>
    <w:rsid w:val="001731E9"/>
    <w:rsid w:val="001764D5"/>
    <w:rsid w:val="00180E8A"/>
    <w:rsid w:val="00182AAE"/>
    <w:rsid w:val="00186FDB"/>
    <w:rsid w:val="00190C8D"/>
    <w:rsid w:val="00191B7A"/>
    <w:rsid w:val="00192D1B"/>
    <w:rsid w:val="001937B5"/>
    <w:rsid w:val="00193A54"/>
    <w:rsid w:val="00197CB9"/>
    <w:rsid w:val="001A3548"/>
    <w:rsid w:val="001A37A8"/>
    <w:rsid w:val="001A5380"/>
    <w:rsid w:val="001B40FD"/>
    <w:rsid w:val="001C07A6"/>
    <w:rsid w:val="001C1E88"/>
    <w:rsid w:val="001C3A0E"/>
    <w:rsid w:val="001C77CB"/>
    <w:rsid w:val="001D32DE"/>
    <w:rsid w:val="001D5691"/>
    <w:rsid w:val="001D61E6"/>
    <w:rsid w:val="001D6338"/>
    <w:rsid w:val="001D7E10"/>
    <w:rsid w:val="001E19D9"/>
    <w:rsid w:val="001E1D40"/>
    <w:rsid w:val="001E2312"/>
    <w:rsid w:val="001E2B7E"/>
    <w:rsid w:val="001E3163"/>
    <w:rsid w:val="001E4636"/>
    <w:rsid w:val="001E5A73"/>
    <w:rsid w:val="001F018D"/>
    <w:rsid w:val="001F5176"/>
    <w:rsid w:val="001F548B"/>
    <w:rsid w:val="001F6824"/>
    <w:rsid w:val="001F6BA8"/>
    <w:rsid w:val="00200E62"/>
    <w:rsid w:val="00204951"/>
    <w:rsid w:val="002076BE"/>
    <w:rsid w:val="002079D8"/>
    <w:rsid w:val="00213DCA"/>
    <w:rsid w:val="002159C7"/>
    <w:rsid w:val="002162EA"/>
    <w:rsid w:val="00225DEE"/>
    <w:rsid w:val="00230F2C"/>
    <w:rsid w:val="002353D3"/>
    <w:rsid w:val="002354D6"/>
    <w:rsid w:val="002372B1"/>
    <w:rsid w:val="00240238"/>
    <w:rsid w:val="0024033B"/>
    <w:rsid w:val="00240CD3"/>
    <w:rsid w:val="002429D7"/>
    <w:rsid w:val="00244164"/>
    <w:rsid w:val="002450D6"/>
    <w:rsid w:val="002456DF"/>
    <w:rsid w:val="002513F9"/>
    <w:rsid w:val="00252260"/>
    <w:rsid w:val="00252818"/>
    <w:rsid w:val="00257965"/>
    <w:rsid w:val="0026274C"/>
    <w:rsid w:val="00262B20"/>
    <w:rsid w:val="00264378"/>
    <w:rsid w:val="00265E3C"/>
    <w:rsid w:val="002666C4"/>
    <w:rsid w:val="0027131D"/>
    <w:rsid w:val="00275EDC"/>
    <w:rsid w:val="002833F3"/>
    <w:rsid w:val="00283ADA"/>
    <w:rsid w:val="00285A1F"/>
    <w:rsid w:val="0028644A"/>
    <w:rsid w:val="00286C0F"/>
    <w:rsid w:val="00291061"/>
    <w:rsid w:val="0029174B"/>
    <w:rsid w:val="002919C0"/>
    <w:rsid w:val="002A3B2C"/>
    <w:rsid w:val="002A7C4D"/>
    <w:rsid w:val="002B029B"/>
    <w:rsid w:val="002B6FEB"/>
    <w:rsid w:val="002B7549"/>
    <w:rsid w:val="002B7ACD"/>
    <w:rsid w:val="002C0913"/>
    <w:rsid w:val="002C14BB"/>
    <w:rsid w:val="002C2C86"/>
    <w:rsid w:val="002D152C"/>
    <w:rsid w:val="002D2488"/>
    <w:rsid w:val="002D306E"/>
    <w:rsid w:val="002D45D7"/>
    <w:rsid w:val="002D6759"/>
    <w:rsid w:val="002D70C5"/>
    <w:rsid w:val="002D7214"/>
    <w:rsid w:val="002E0E47"/>
    <w:rsid w:val="002E4255"/>
    <w:rsid w:val="002E554D"/>
    <w:rsid w:val="002E60FA"/>
    <w:rsid w:val="002E6FFC"/>
    <w:rsid w:val="002F76FF"/>
    <w:rsid w:val="002F7826"/>
    <w:rsid w:val="00302101"/>
    <w:rsid w:val="00304352"/>
    <w:rsid w:val="00305C62"/>
    <w:rsid w:val="00306B73"/>
    <w:rsid w:val="0031010B"/>
    <w:rsid w:val="0031551A"/>
    <w:rsid w:val="00317C19"/>
    <w:rsid w:val="00322111"/>
    <w:rsid w:val="00323297"/>
    <w:rsid w:val="003311B2"/>
    <w:rsid w:val="003331E4"/>
    <w:rsid w:val="00333B52"/>
    <w:rsid w:val="00333ECA"/>
    <w:rsid w:val="00334A2A"/>
    <w:rsid w:val="0033704B"/>
    <w:rsid w:val="0034005B"/>
    <w:rsid w:val="00350CE9"/>
    <w:rsid w:val="003528A8"/>
    <w:rsid w:val="003528BB"/>
    <w:rsid w:val="00353AF7"/>
    <w:rsid w:val="0035586A"/>
    <w:rsid w:val="00356F9A"/>
    <w:rsid w:val="003609D0"/>
    <w:rsid w:val="00363650"/>
    <w:rsid w:val="00365923"/>
    <w:rsid w:val="003752A2"/>
    <w:rsid w:val="00376F70"/>
    <w:rsid w:val="00383FA9"/>
    <w:rsid w:val="00387013"/>
    <w:rsid w:val="00390E15"/>
    <w:rsid w:val="00391F07"/>
    <w:rsid w:val="0039657C"/>
    <w:rsid w:val="00397A3A"/>
    <w:rsid w:val="003A0D1B"/>
    <w:rsid w:val="003A192E"/>
    <w:rsid w:val="003A1D39"/>
    <w:rsid w:val="003A317B"/>
    <w:rsid w:val="003A3F7A"/>
    <w:rsid w:val="003A4B5E"/>
    <w:rsid w:val="003A7DA1"/>
    <w:rsid w:val="003B2E21"/>
    <w:rsid w:val="003B41B2"/>
    <w:rsid w:val="003B4E98"/>
    <w:rsid w:val="003B5635"/>
    <w:rsid w:val="003B6AAB"/>
    <w:rsid w:val="003B6AFF"/>
    <w:rsid w:val="003B71FE"/>
    <w:rsid w:val="003C06B4"/>
    <w:rsid w:val="003C4CAB"/>
    <w:rsid w:val="003C5DD6"/>
    <w:rsid w:val="003D0F99"/>
    <w:rsid w:val="003D1445"/>
    <w:rsid w:val="003D18D2"/>
    <w:rsid w:val="003D2350"/>
    <w:rsid w:val="003D2FC9"/>
    <w:rsid w:val="003D738A"/>
    <w:rsid w:val="003E338D"/>
    <w:rsid w:val="003F2C32"/>
    <w:rsid w:val="003F5C09"/>
    <w:rsid w:val="003F7A1E"/>
    <w:rsid w:val="00400201"/>
    <w:rsid w:val="00401428"/>
    <w:rsid w:val="004015D2"/>
    <w:rsid w:val="00403183"/>
    <w:rsid w:val="00407E52"/>
    <w:rsid w:val="00415498"/>
    <w:rsid w:val="00417767"/>
    <w:rsid w:val="00417BBC"/>
    <w:rsid w:val="004215A7"/>
    <w:rsid w:val="004259D8"/>
    <w:rsid w:val="00426A49"/>
    <w:rsid w:val="00427A1F"/>
    <w:rsid w:val="00431ACD"/>
    <w:rsid w:val="004350E3"/>
    <w:rsid w:val="00435147"/>
    <w:rsid w:val="00435B93"/>
    <w:rsid w:val="004378CA"/>
    <w:rsid w:val="00437CC2"/>
    <w:rsid w:val="00443071"/>
    <w:rsid w:val="00444DB5"/>
    <w:rsid w:val="0044598E"/>
    <w:rsid w:val="0044792D"/>
    <w:rsid w:val="0045316B"/>
    <w:rsid w:val="00453A19"/>
    <w:rsid w:val="004571DF"/>
    <w:rsid w:val="00457422"/>
    <w:rsid w:val="00457F64"/>
    <w:rsid w:val="004614AB"/>
    <w:rsid w:val="00467142"/>
    <w:rsid w:val="00470A7C"/>
    <w:rsid w:val="00474294"/>
    <w:rsid w:val="00476AC5"/>
    <w:rsid w:val="00480305"/>
    <w:rsid w:val="00480891"/>
    <w:rsid w:val="00481682"/>
    <w:rsid w:val="004841D6"/>
    <w:rsid w:val="0048490A"/>
    <w:rsid w:val="004921CF"/>
    <w:rsid w:val="00496420"/>
    <w:rsid w:val="00497183"/>
    <w:rsid w:val="004A2F46"/>
    <w:rsid w:val="004A3EE0"/>
    <w:rsid w:val="004A69C2"/>
    <w:rsid w:val="004A7CC3"/>
    <w:rsid w:val="004B0808"/>
    <w:rsid w:val="004B3B09"/>
    <w:rsid w:val="004B4EAC"/>
    <w:rsid w:val="004B6886"/>
    <w:rsid w:val="004B7DDF"/>
    <w:rsid w:val="004C31D6"/>
    <w:rsid w:val="004C4388"/>
    <w:rsid w:val="004C7290"/>
    <w:rsid w:val="004D34BC"/>
    <w:rsid w:val="004D4A2A"/>
    <w:rsid w:val="004D63A9"/>
    <w:rsid w:val="004E0D9A"/>
    <w:rsid w:val="004E2727"/>
    <w:rsid w:val="004E3261"/>
    <w:rsid w:val="004E32BB"/>
    <w:rsid w:val="004E578E"/>
    <w:rsid w:val="004F0008"/>
    <w:rsid w:val="004F132A"/>
    <w:rsid w:val="004F214D"/>
    <w:rsid w:val="004F4BF8"/>
    <w:rsid w:val="004F5324"/>
    <w:rsid w:val="004F7EE1"/>
    <w:rsid w:val="0050193F"/>
    <w:rsid w:val="00502A68"/>
    <w:rsid w:val="00507BD4"/>
    <w:rsid w:val="00507CDD"/>
    <w:rsid w:val="00512FA6"/>
    <w:rsid w:val="00516D93"/>
    <w:rsid w:val="00517F83"/>
    <w:rsid w:val="0052239D"/>
    <w:rsid w:val="00522BB7"/>
    <w:rsid w:val="00524E5A"/>
    <w:rsid w:val="00525F7B"/>
    <w:rsid w:val="0053038D"/>
    <w:rsid w:val="005310F3"/>
    <w:rsid w:val="00531B3A"/>
    <w:rsid w:val="005321BC"/>
    <w:rsid w:val="0053351B"/>
    <w:rsid w:val="00534E63"/>
    <w:rsid w:val="00534E88"/>
    <w:rsid w:val="0054213F"/>
    <w:rsid w:val="00545B07"/>
    <w:rsid w:val="00547AA4"/>
    <w:rsid w:val="00550246"/>
    <w:rsid w:val="00552ABD"/>
    <w:rsid w:val="0056518A"/>
    <w:rsid w:val="00565EB5"/>
    <w:rsid w:val="00573066"/>
    <w:rsid w:val="00582B5B"/>
    <w:rsid w:val="00585ECA"/>
    <w:rsid w:val="005871C5"/>
    <w:rsid w:val="00593020"/>
    <w:rsid w:val="00593659"/>
    <w:rsid w:val="00596904"/>
    <w:rsid w:val="005A11A8"/>
    <w:rsid w:val="005B0093"/>
    <w:rsid w:val="005B28F2"/>
    <w:rsid w:val="005B4C94"/>
    <w:rsid w:val="005B5AC5"/>
    <w:rsid w:val="005C5A23"/>
    <w:rsid w:val="005C7925"/>
    <w:rsid w:val="005D02A6"/>
    <w:rsid w:val="005D2C46"/>
    <w:rsid w:val="005D489A"/>
    <w:rsid w:val="005D6B5F"/>
    <w:rsid w:val="005D70D7"/>
    <w:rsid w:val="005E245A"/>
    <w:rsid w:val="005E57D0"/>
    <w:rsid w:val="005E5BEB"/>
    <w:rsid w:val="005E5CBB"/>
    <w:rsid w:val="005F3459"/>
    <w:rsid w:val="005F74EF"/>
    <w:rsid w:val="005F7DC7"/>
    <w:rsid w:val="00600763"/>
    <w:rsid w:val="006016B3"/>
    <w:rsid w:val="00612418"/>
    <w:rsid w:val="00612A42"/>
    <w:rsid w:val="00613186"/>
    <w:rsid w:val="00614132"/>
    <w:rsid w:val="006141A1"/>
    <w:rsid w:val="00616B59"/>
    <w:rsid w:val="006172DA"/>
    <w:rsid w:val="00617330"/>
    <w:rsid w:val="00621389"/>
    <w:rsid w:val="0062478E"/>
    <w:rsid w:val="00626910"/>
    <w:rsid w:val="00626C89"/>
    <w:rsid w:val="00630730"/>
    <w:rsid w:val="00631396"/>
    <w:rsid w:val="00633633"/>
    <w:rsid w:val="006347CE"/>
    <w:rsid w:val="00635DC4"/>
    <w:rsid w:val="00635E29"/>
    <w:rsid w:val="006366B5"/>
    <w:rsid w:val="00637DD5"/>
    <w:rsid w:val="00641098"/>
    <w:rsid w:val="006415AF"/>
    <w:rsid w:val="006418F8"/>
    <w:rsid w:val="00641F10"/>
    <w:rsid w:val="00642AB2"/>
    <w:rsid w:val="00647CF8"/>
    <w:rsid w:val="0065375F"/>
    <w:rsid w:val="0065459B"/>
    <w:rsid w:val="006565A0"/>
    <w:rsid w:val="006646DE"/>
    <w:rsid w:val="00670882"/>
    <w:rsid w:val="006709C9"/>
    <w:rsid w:val="00670A4A"/>
    <w:rsid w:val="006728DD"/>
    <w:rsid w:val="006747F6"/>
    <w:rsid w:val="006846C6"/>
    <w:rsid w:val="006866D3"/>
    <w:rsid w:val="00690F60"/>
    <w:rsid w:val="00691776"/>
    <w:rsid w:val="00691F1E"/>
    <w:rsid w:val="00693C33"/>
    <w:rsid w:val="00693D11"/>
    <w:rsid w:val="0069425A"/>
    <w:rsid w:val="00695419"/>
    <w:rsid w:val="006964D5"/>
    <w:rsid w:val="006964E9"/>
    <w:rsid w:val="006A2190"/>
    <w:rsid w:val="006B0D77"/>
    <w:rsid w:val="006B0E6C"/>
    <w:rsid w:val="006B1D0C"/>
    <w:rsid w:val="006B1EF8"/>
    <w:rsid w:val="006B2C96"/>
    <w:rsid w:val="006B3F26"/>
    <w:rsid w:val="006B49CC"/>
    <w:rsid w:val="006B63BE"/>
    <w:rsid w:val="006B7013"/>
    <w:rsid w:val="006B754D"/>
    <w:rsid w:val="006C1E56"/>
    <w:rsid w:val="006D0544"/>
    <w:rsid w:val="006D081B"/>
    <w:rsid w:val="006D0CC7"/>
    <w:rsid w:val="006D1455"/>
    <w:rsid w:val="006D4338"/>
    <w:rsid w:val="006E332E"/>
    <w:rsid w:val="006E5C15"/>
    <w:rsid w:val="006E79C1"/>
    <w:rsid w:val="006F02A4"/>
    <w:rsid w:val="006F0BCD"/>
    <w:rsid w:val="006F3899"/>
    <w:rsid w:val="00700232"/>
    <w:rsid w:val="0070073D"/>
    <w:rsid w:val="007008EB"/>
    <w:rsid w:val="00701A39"/>
    <w:rsid w:val="00703D77"/>
    <w:rsid w:val="00703F93"/>
    <w:rsid w:val="007118B9"/>
    <w:rsid w:val="00711BC5"/>
    <w:rsid w:val="0071218B"/>
    <w:rsid w:val="00715EB6"/>
    <w:rsid w:val="00720164"/>
    <w:rsid w:val="0072041D"/>
    <w:rsid w:val="007243E6"/>
    <w:rsid w:val="007257B8"/>
    <w:rsid w:val="00726AE8"/>
    <w:rsid w:val="00726E7E"/>
    <w:rsid w:val="0073395F"/>
    <w:rsid w:val="007346B4"/>
    <w:rsid w:val="00743D0C"/>
    <w:rsid w:val="007460E4"/>
    <w:rsid w:val="007463C0"/>
    <w:rsid w:val="007510D4"/>
    <w:rsid w:val="00751AD2"/>
    <w:rsid w:val="00752AE7"/>
    <w:rsid w:val="0075762F"/>
    <w:rsid w:val="007610FC"/>
    <w:rsid w:val="00762BC0"/>
    <w:rsid w:val="00763899"/>
    <w:rsid w:val="007658A5"/>
    <w:rsid w:val="007712C1"/>
    <w:rsid w:val="0077243B"/>
    <w:rsid w:val="00782043"/>
    <w:rsid w:val="00786840"/>
    <w:rsid w:val="00787E3B"/>
    <w:rsid w:val="007906A2"/>
    <w:rsid w:val="00791B67"/>
    <w:rsid w:val="00796DD0"/>
    <w:rsid w:val="007A40C1"/>
    <w:rsid w:val="007A4A74"/>
    <w:rsid w:val="007A5121"/>
    <w:rsid w:val="007B0DB1"/>
    <w:rsid w:val="007B196F"/>
    <w:rsid w:val="007B1A6E"/>
    <w:rsid w:val="007B2053"/>
    <w:rsid w:val="007B22D8"/>
    <w:rsid w:val="007B2AAF"/>
    <w:rsid w:val="007B47E8"/>
    <w:rsid w:val="007B6530"/>
    <w:rsid w:val="007B6781"/>
    <w:rsid w:val="007C1612"/>
    <w:rsid w:val="007C36DB"/>
    <w:rsid w:val="007C383D"/>
    <w:rsid w:val="007C4EE3"/>
    <w:rsid w:val="007E070B"/>
    <w:rsid w:val="007E2BA1"/>
    <w:rsid w:val="007E3E64"/>
    <w:rsid w:val="007F0923"/>
    <w:rsid w:val="007F1A87"/>
    <w:rsid w:val="008018F6"/>
    <w:rsid w:val="00801E39"/>
    <w:rsid w:val="008021F1"/>
    <w:rsid w:val="00805057"/>
    <w:rsid w:val="008050D4"/>
    <w:rsid w:val="008051B7"/>
    <w:rsid w:val="00806B01"/>
    <w:rsid w:val="0081059E"/>
    <w:rsid w:val="00812F52"/>
    <w:rsid w:val="00813719"/>
    <w:rsid w:val="00814220"/>
    <w:rsid w:val="0081460A"/>
    <w:rsid w:val="00815E0B"/>
    <w:rsid w:val="008204F4"/>
    <w:rsid w:val="00820A05"/>
    <w:rsid w:val="00823391"/>
    <w:rsid w:val="008258BD"/>
    <w:rsid w:val="00825B94"/>
    <w:rsid w:val="00830B86"/>
    <w:rsid w:val="00833B68"/>
    <w:rsid w:val="00833E58"/>
    <w:rsid w:val="00835790"/>
    <w:rsid w:val="00835AD7"/>
    <w:rsid w:val="00835DF9"/>
    <w:rsid w:val="0083721F"/>
    <w:rsid w:val="00842A8B"/>
    <w:rsid w:val="0084658B"/>
    <w:rsid w:val="0084692F"/>
    <w:rsid w:val="00847523"/>
    <w:rsid w:val="00852B28"/>
    <w:rsid w:val="00857357"/>
    <w:rsid w:val="0086112D"/>
    <w:rsid w:val="00861F29"/>
    <w:rsid w:val="008633DB"/>
    <w:rsid w:val="00863704"/>
    <w:rsid w:val="00864341"/>
    <w:rsid w:val="00864D55"/>
    <w:rsid w:val="00866307"/>
    <w:rsid w:val="00873DFD"/>
    <w:rsid w:val="008745B8"/>
    <w:rsid w:val="00874C0E"/>
    <w:rsid w:val="00875D9D"/>
    <w:rsid w:val="00876453"/>
    <w:rsid w:val="0087659F"/>
    <w:rsid w:val="008766EE"/>
    <w:rsid w:val="0088045A"/>
    <w:rsid w:val="00881ADF"/>
    <w:rsid w:val="00882C20"/>
    <w:rsid w:val="00883D4F"/>
    <w:rsid w:val="00884B87"/>
    <w:rsid w:val="008854ED"/>
    <w:rsid w:val="00886156"/>
    <w:rsid w:val="00891D17"/>
    <w:rsid w:val="00896611"/>
    <w:rsid w:val="008972D6"/>
    <w:rsid w:val="00897967"/>
    <w:rsid w:val="008A26E6"/>
    <w:rsid w:val="008A5D19"/>
    <w:rsid w:val="008A7693"/>
    <w:rsid w:val="008B0B8B"/>
    <w:rsid w:val="008B0C6B"/>
    <w:rsid w:val="008B1253"/>
    <w:rsid w:val="008B52A3"/>
    <w:rsid w:val="008C5193"/>
    <w:rsid w:val="008C69D0"/>
    <w:rsid w:val="008C69F0"/>
    <w:rsid w:val="008C6B7D"/>
    <w:rsid w:val="008D0F5A"/>
    <w:rsid w:val="008D3AF9"/>
    <w:rsid w:val="008E4AFD"/>
    <w:rsid w:val="008E55A1"/>
    <w:rsid w:val="008F0478"/>
    <w:rsid w:val="008F33DE"/>
    <w:rsid w:val="008F36FB"/>
    <w:rsid w:val="008F3C7A"/>
    <w:rsid w:val="008F57FD"/>
    <w:rsid w:val="00902082"/>
    <w:rsid w:val="00902E5D"/>
    <w:rsid w:val="00903FC3"/>
    <w:rsid w:val="009049AF"/>
    <w:rsid w:val="0091058D"/>
    <w:rsid w:val="0091074D"/>
    <w:rsid w:val="00914D80"/>
    <w:rsid w:val="00915493"/>
    <w:rsid w:val="00916371"/>
    <w:rsid w:val="00916A2F"/>
    <w:rsid w:val="00916ED4"/>
    <w:rsid w:val="00930910"/>
    <w:rsid w:val="0093173F"/>
    <w:rsid w:val="0093521D"/>
    <w:rsid w:val="00942F92"/>
    <w:rsid w:val="00944FA2"/>
    <w:rsid w:val="00951622"/>
    <w:rsid w:val="00953D7A"/>
    <w:rsid w:val="00955790"/>
    <w:rsid w:val="00956BDC"/>
    <w:rsid w:val="00960BD3"/>
    <w:rsid w:val="00964874"/>
    <w:rsid w:val="00965C6F"/>
    <w:rsid w:val="00966091"/>
    <w:rsid w:val="00973DB0"/>
    <w:rsid w:val="00975684"/>
    <w:rsid w:val="009803E5"/>
    <w:rsid w:val="00981ABF"/>
    <w:rsid w:val="00981DEC"/>
    <w:rsid w:val="009823EC"/>
    <w:rsid w:val="009827EF"/>
    <w:rsid w:val="009858DB"/>
    <w:rsid w:val="00985B91"/>
    <w:rsid w:val="00987A81"/>
    <w:rsid w:val="00987C70"/>
    <w:rsid w:val="009926A4"/>
    <w:rsid w:val="00995B1E"/>
    <w:rsid w:val="009A0026"/>
    <w:rsid w:val="009A06CE"/>
    <w:rsid w:val="009A134D"/>
    <w:rsid w:val="009A7A46"/>
    <w:rsid w:val="009B03C1"/>
    <w:rsid w:val="009B1C9D"/>
    <w:rsid w:val="009B3E3A"/>
    <w:rsid w:val="009B5A53"/>
    <w:rsid w:val="009B5AE8"/>
    <w:rsid w:val="009C112D"/>
    <w:rsid w:val="009C15CE"/>
    <w:rsid w:val="009C2816"/>
    <w:rsid w:val="009C715B"/>
    <w:rsid w:val="009C7F12"/>
    <w:rsid w:val="009D5F53"/>
    <w:rsid w:val="009D670B"/>
    <w:rsid w:val="009E045F"/>
    <w:rsid w:val="009E05E1"/>
    <w:rsid w:val="009E1D71"/>
    <w:rsid w:val="009E2596"/>
    <w:rsid w:val="009E3611"/>
    <w:rsid w:val="009E6A26"/>
    <w:rsid w:val="009F08E1"/>
    <w:rsid w:val="009F0F1B"/>
    <w:rsid w:val="009F1800"/>
    <w:rsid w:val="009F4B5C"/>
    <w:rsid w:val="00A00D0E"/>
    <w:rsid w:val="00A06D2F"/>
    <w:rsid w:val="00A07451"/>
    <w:rsid w:val="00A1058A"/>
    <w:rsid w:val="00A10ABB"/>
    <w:rsid w:val="00A1307D"/>
    <w:rsid w:val="00A15B5B"/>
    <w:rsid w:val="00A202FB"/>
    <w:rsid w:val="00A21CEB"/>
    <w:rsid w:val="00A22582"/>
    <w:rsid w:val="00A252E5"/>
    <w:rsid w:val="00A268C8"/>
    <w:rsid w:val="00A269AC"/>
    <w:rsid w:val="00A27D4B"/>
    <w:rsid w:val="00A30F6B"/>
    <w:rsid w:val="00A31BA4"/>
    <w:rsid w:val="00A31C7E"/>
    <w:rsid w:val="00A33229"/>
    <w:rsid w:val="00A3362B"/>
    <w:rsid w:val="00A36779"/>
    <w:rsid w:val="00A37E6A"/>
    <w:rsid w:val="00A410D7"/>
    <w:rsid w:val="00A4447D"/>
    <w:rsid w:val="00A50B4A"/>
    <w:rsid w:val="00A51A16"/>
    <w:rsid w:val="00A540C9"/>
    <w:rsid w:val="00A553CF"/>
    <w:rsid w:val="00A55CB5"/>
    <w:rsid w:val="00A57929"/>
    <w:rsid w:val="00A66D91"/>
    <w:rsid w:val="00A702AA"/>
    <w:rsid w:val="00A735ED"/>
    <w:rsid w:val="00A75365"/>
    <w:rsid w:val="00A75F45"/>
    <w:rsid w:val="00A7658C"/>
    <w:rsid w:val="00A83F46"/>
    <w:rsid w:val="00A854E6"/>
    <w:rsid w:val="00A86A3C"/>
    <w:rsid w:val="00A874B8"/>
    <w:rsid w:val="00A92A1D"/>
    <w:rsid w:val="00A93F66"/>
    <w:rsid w:val="00A966EC"/>
    <w:rsid w:val="00A96715"/>
    <w:rsid w:val="00A97D76"/>
    <w:rsid w:val="00AA2853"/>
    <w:rsid w:val="00AA4140"/>
    <w:rsid w:val="00AB141E"/>
    <w:rsid w:val="00AB245B"/>
    <w:rsid w:val="00AB267A"/>
    <w:rsid w:val="00AB2914"/>
    <w:rsid w:val="00AC0D93"/>
    <w:rsid w:val="00AC14FF"/>
    <w:rsid w:val="00AC1646"/>
    <w:rsid w:val="00AC3DDE"/>
    <w:rsid w:val="00AC787F"/>
    <w:rsid w:val="00AD05FA"/>
    <w:rsid w:val="00AD12F7"/>
    <w:rsid w:val="00AD1ED7"/>
    <w:rsid w:val="00AD219A"/>
    <w:rsid w:val="00AD3E66"/>
    <w:rsid w:val="00AD5D9E"/>
    <w:rsid w:val="00AD69D9"/>
    <w:rsid w:val="00AD6EBF"/>
    <w:rsid w:val="00AD733D"/>
    <w:rsid w:val="00AE3D65"/>
    <w:rsid w:val="00AE3F30"/>
    <w:rsid w:val="00AE4E5B"/>
    <w:rsid w:val="00AE7B13"/>
    <w:rsid w:val="00AF13C3"/>
    <w:rsid w:val="00AF17EC"/>
    <w:rsid w:val="00AF60F9"/>
    <w:rsid w:val="00AF7E0F"/>
    <w:rsid w:val="00B00DA0"/>
    <w:rsid w:val="00B03304"/>
    <w:rsid w:val="00B038BE"/>
    <w:rsid w:val="00B03A04"/>
    <w:rsid w:val="00B048D3"/>
    <w:rsid w:val="00B04E97"/>
    <w:rsid w:val="00B05134"/>
    <w:rsid w:val="00B16060"/>
    <w:rsid w:val="00B162CD"/>
    <w:rsid w:val="00B2119E"/>
    <w:rsid w:val="00B2310B"/>
    <w:rsid w:val="00B259A8"/>
    <w:rsid w:val="00B26905"/>
    <w:rsid w:val="00B30FB1"/>
    <w:rsid w:val="00B31594"/>
    <w:rsid w:val="00B33AD7"/>
    <w:rsid w:val="00B33EB0"/>
    <w:rsid w:val="00B4335B"/>
    <w:rsid w:val="00B466F2"/>
    <w:rsid w:val="00B47B37"/>
    <w:rsid w:val="00B528F9"/>
    <w:rsid w:val="00B54DD7"/>
    <w:rsid w:val="00B5517C"/>
    <w:rsid w:val="00B55A97"/>
    <w:rsid w:val="00B57568"/>
    <w:rsid w:val="00B61F89"/>
    <w:rsid w:val="00B644F3"/>
    <w:rsid w:val="00B67410"/>
    <w:rsid w:val="00B70F8D"/>
    <w:rsid w:val="00B76FD7"/>
    <w:rsid w:val="00B85465"/>
    <w:rsid w:val="00B90542"/>
    <w:rsid w:val="00B9285C"/>
    <w:rsid w:val="00B92AC9"/>
    <w:rsid w:val="00B95A7A"/>
    <w:rsid w:val="00B95A88"/>
    <w:rsid w:val="00B968F4"/>
    <w:rsid w:val="00BA0957"/>
    <w:rsid w:val="00BA4D3D"/>
    <w:rsid w:val="00BA4F47"/>
    <w:rsid w:val="00BB1AC2"/>
    <w:rsid w:val="00BB2356"/>
    <w:rsid w:val="00BB2E51"/>
    <w:rsid w:val="00BB32BB"/>
    <w:rsid w:val="00BB3E81"/>
    <w:rsid w:val="00BB43D1"/>
    <w:rsid w:val="00BB5D7D"/>
    <w:rsid w:val="00BD2270"/>
    <w:rsid w:val="00BE1D33"/>
    <w:rsid w:val="00BE388F"/>
    <w:rsid w:val="00BF0037"/>
    <w:rsid w:val="00BF43EF"/>
    <w:rsid w:val="00BF4479"/>
    <w:rsid w:val="00BF4A2A"/>
    <w:rsid w:val="00BF74D5"/>
    <w:rsid w:val="00C00B11"/>
    <w:rsid w:val="00C03607"/>
    <w:rsid w:val="00C04D2A"/>
    <w:rsid w:val="00C116CA"/>
    <w:rsid w:val="00C12FB5"/>
    <w:rsid w:val="00C1373D"/>
    <w:rsid w:val="00C13840"/>
    <w:rsid w:val="00C139E6"/>
    <w:rsid w:val="00C14917"/>
    <w:rsid w:val="00C15B07"/>
    <w:rsid w:val="00C17B22"/>
    <w:rsid w:val="00C17C44"/>
    <w:rsid w:val="00C24A93"/>
    <w:rsid w:val="00C2791C"/>
    <w:rsid w:val="00C27BE9"/>
    <w:rsid w:val="00C301E6"/>
    <w:rsid w:val="00C3662D"/>
    <w:rsid w:val="00C37554"/>
    <w:rsid w:val="00C40E2B"/>
    <w:rsid w:val="00C46DD5"/>
    <w:rsid w:val="00C53730"/>
    <w:rsid w:val="00C616CE"/>
    <w:rsid w:val="00C636D2"/>
    <w:rsid w:val="00C65A67"/>
    <w:rsid w:val="00C67094"/>
    <w:rsid w:val="00C70AA9"/>
    <w:rsid w:val="00C71FC5"/>
    <w:rsid w:val="00C72AE7"/>
    <w:rsid w:val="00C74466"/>
    <w:rsid w:val="00C800EC"/>
    <w:rsid w:val="00C8017A"/>
    <w:rsid w:val="00C82AD7"/>
    <w:rsid w:val="00C83165"/>
    <w:rsid w:val="00C8395B"/>
    <w:rsid w:val="00C902BA"/>
    <w:rsid w:val="00C90E6C"/>
    <w:rsid w:val="00C92BCD"/>
    <w:rsid w:val="00C93572"/>
    <w:rsid w:val="00C95A1C"/>
    <w:rsid w:val="00C9761D"/>
    <w:rsid w:val="00CA1009"/>
    <w:rsid w:val="00CA3EFF"/>
    <w:rsid w:val="00CA6EA6"/>
    <w:rsid w:val="00CB1048"/>
    <w:rsid w:val="00CB26FB"/>
    <w:rsid w:val="00CB2AF4"/>
    <w:rsid w:val="00CB2DB8"/>
    <w:rsid w:val="00CB37E9"/>
    <w:rsid w:val="00CB6EB4"/>
    <w:rsid w:val="00CC1A38"/>
    <w:rsid w:val="00CC251E"/>
    <w:rsid w:val="00CC451F"/>
    <w:rsid w:val="00CC501C"/>
    <w:rsid w:val="00CC51AC"/>
    <w:rsid w:val="00CD27EE"/>
    <w:rsid w:val="00CD3381"/>
    <w:rsid w:val="00CD6008"/>
    <w:rsid w:val="00CE73CD"/>
    <w:rsid w:val="00CF377E"/>
    <w:rsid w:val="00CF4975"/>
    <w:rsid w:val="00CF6465"/>
    <w:rsid w:val="00CF7117"/>
    <w:rsid w:val="00CF7901"/>
    <w:rsid w:val="00D00A13"/>
    <w:rsid w:val="00D03819"/>
    <w:rsid w:val="00D039D8"/>
    <w:rsid w:val="00D04999"/>
    <w:rsid w:val="00D118C9"/>
    <w:rsid w:val="00D130F1"/>
    <w:rsid w:val="00D15A8A"/>
    <w:rsid w:val="00D16E4D"/>
    <w:rsid w:val="00D22D87"/>
    <w:rsid w:val="00D244C6"/>
    <w:rsid w:val="00D250B9"/>
    <w:rsid w:val="00D259E5"/>
    <w:rsid w:val="00D267F1"/>
    <w:rsid w:val="00D2745F"/>
    <w:rsid w:val="00D312B7"/>
    <w:rsid w:val="00D31D7F"/>
    <w:rsid w:val="00D32105"/>
    <w:rsid w:val="00D32CDF"/>
    <w:rsid w:val="00D33E71"/>
    <w:rsid w:val="00D3477E"/>
    <w:rsid w:val="00D42F5B"/>
    <w:rsid w:val="00D44629"/>
    <w:rsid w:val="00D468E1"/>
    <w:rsid w:val="00D52F44"/>
    <w:rsid w:val="00D543A4"/>
    <w:rsid w:val="00D57195"/>
    <w:rsid w:val="00D64663"/>
    <w:rsid w:val="00D64830"/>
    <w:rsid w:val="00D652A3"/>
    <w:rsid w:val="00D70417"/>
    <w:rsid w:val="00D74AF6"/>
    <w:rsid w:val="00D75B75"/>
    <w:rsid w:val="00D8532A"/>
    <w:rsid w:val="00D86ED2"/>
    <w:rsid w:val="00D9023C"/>
    <w:rsid w:val="00D913F8"/>
    <w:rsid w:val="00D93AC7"/>
    <w:rsid w:val="00D9776C"/>
    <w:rsid w:val="00DA2B0C"/>
    <w:rsid w:val="00DA30B0"/>
    <w:rsid w:val="00DA3408"/>
    <w:rsid w:val="00DA3FDA"/>
    <w:rsid w:val="00DA6FB3"/>
    <w:rsid w:val="00DB073E"/>
    <w:rsid w:val="00DB1CA8"/>
    <w:rsid w:val="00DB67F8"/>
    <w:rsid w:val="00DC75B3"/>
    <w:rsid w:val="00DD2948"/>
    <w:rsid w:val="00DD3EB0"/>
    <w:rsid w:val="00DD3EBC"/>
    <w:rsid w:val="00DE2F3B"/>
    <w:rsid w:val="00DE3404"/>
    <w:rsid w:val="00DE5C0F"/>
    <w:rsid w:val="00DE7472"/>
    <w:rsid w:val="00DF130C"/>
    <w:rsid w:val="00DF3D58"/>
    <w:rsid w:val="00DF5A94"/>
    <w:rsid w:val="00DF7AAD"/>
    <w:rsid w:val="00E01F24"/>
    <w:rsid w:val="00E02FF6"/>
    <w:rsid w:val="00E0385B"/>
    <w:rsid w:val="00E0599B"/>
    <w:rsid w:val="00E102FC"/>
    <w:rsid w:val="00E104D2"/>
    <w:rsid w:val="00E10AC8"/>
    <w:rsid w:val="00E11CBC"/>
    <w:rsid w:val="00E13C4A"/>
    <w:rsid w:val="00E159E6"/>
    <w:rsid w:val="00E16372"/>
    <w:rsid w:val="00E228C7"/>
    <w:rsid w:val="00E246A7"/>
    <w:rsid w:val="00E24743"/>
    <w:rsid w:val="00E3143F"/>
    <w:rsid w:val="00E33E0E"/>
    <w:rsid w:val="00E34A50"/>
    <w:rsid w:val="00E44390"/>
    <w:rsid w:val="00E448FE"/>
    <w:rsid w:val="00E46EFF"/>
    <w:rsid w:val="00E50D54"/>
    <w:rsid w:val="00E52420"/>
    <w:rsid w:val="00E5347E"/>
    <w:rsid w:val="00E64E3F"/>
    <w:rsid w:val="00E678C9"/>
    <w:rsid w:val="00E71707"/>
    <w:rsid w:val="00E71811"/>
    <w:rsid w:val="00E73BC0"/>
    <w:rsid w:val="00E75077"/>
    <w:rsid w:val="00E7628E"/>
    <w:rsid w:val="00E801C2"/>
    <w:rsid w:val="00E805C1"/>
    <w:rsid w:val="00E83B57"/>
    <w:rsid w:val="00E86125"/>
    <w:rsid w:val="00E91C28"/>
    <w:rsid w:val="00E92E36"/>
    <w:rsid w:val="00EB3A93"/>
    <w:rsid w:val="00EC0AA2"/>
    <w:rsid w:val="00EC35E1"/>
    <w:rsid w:val="00EC3DFE"/>
    <w:rsid w:val="00EC41D3"/>
    <w:rsid w:val="00ED106E"/>
    <w:rsid w:val="00ED45F7"/>
    <w:rsid w:val="00ED5331"/>
    <w:rsid w:val="00EE28B5"/>
    <w:rsid w:val="00EE2D74"/>
    <w:rsid w:val="00EE5698"/>
    <w:rsid w:val="00EE7978"/>
    <w:rsid w:val="00EF064B"/>
    <w:rsid w:val="00EF1AB3"/>
    <w:rsid w:val="00EF3708"/>
    <w:rsid w:val="00EF4815"/>
    <w:rsid w:val="00F005D3"/>
    <w:rsid w:val="00F05C97"/>
    <w:rsid w:val="00F064F6"/>
    <w:rsid w:val="00F12412"/>
    <w:rsid w:val="00F15E24"/>
    <w:rsid w:val="00F204D6"/>
    <w:rsid w:val="00F23705"/>
    <w:rsid w:val="00F27968"/>
    <w:rsid w:val="00F301DB"/>
    <w:rsid w:val="00F333AF"/>
    <w:rsid w:val="00F42C4C"/>
    <w:rsid w:val="00F4477D"/>
    <w:rsid w:val="00F44B40"/>
    <w:rsid w:val="00F45F7B"/>
    <w:rsid w:val="00F46429"/>
    <w:rsid w:val="00F53021"/>
    <w:rsid w:val="00F538C3"/>
    <w:rsid w:val="00F555D4"/>
    <w:rsid w:val="00F566C4"/>
    <w:rsid w:val="00F62310"/>
    <w:rsid w:val="00F64624"/>
    <w:rsid w:val="00F66557"/>
    <w:rsid w:val="00F67543"/>
    <w:rsid w:val="00F72C8C"/>
    <w:rsid w:val="00F75E75"/>
    <w:rsid w:val="00F81282"/>
    <w:rsid w:val="00F820EE"/>
    <w:rsid w:val="00F83F07"/>
    <w:rsid w:val="00F83FDD"/>
    <w:rsid w:val="00F85BBE"/>
    <w:rsid w:val="00F868D8"/>
    <w:rsid w:val="00F91DE4"/>
    <w:rsid w:val="00F95AEA"/>
    <w:rsid w:val="00F963FF"/>
    <w:rsid w:val="00FA0DF3"/>
    <w:rsid w:val="00FA2B10"/>
    <w:rsid w:val="00FA50D7"/>
    <w:rsid w:val="00FA5412"/>
    <w:rsid w:val="00FA7843"/>
    <w:rsid w:val="00FB31E8"/>
    <w:rsid w:val="00FB58C1"/>
    <w:rsid w:val="00FB79AA"/>
    <w:rsid w:val="00FC052F"/>
    <w:rsid w:val="00FC1A5C"/>
    <w:rsid w:val="00FC532F"/>
    <w:rsid w:val="00FC6E1E"/>
    <w:rsid w:val="00FD2802"/>
    <w:rsid w:val="00FD287D"/>
    <w:rsid w:val="00FD6AA4"/>
    <w:rsid w:val="00FD7A94"/>
    <w:rsid w:val="00FE018F"/>
    <w:rsid w:val="00FE170E"/>
    <w:rsid w:val="00FE1D5D"/>
    <w:rsid w:val="00FE2AC2"/>
    <w:rsid w:val="00FE439D"/>
    <w:rsid w:val="00FE4D1F"/>
    <w:rsid w:val="00FE641A"/>
    <w:rsid w:val="00FF2B4E"/>
    <w:rsid w:val="00FF7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BB7E58"/>
  <w15:chartTrackingRefBased/>
  <w15:docId w15:val="{01D0E54D-1E11-4D57-A32D-C5702438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6A7"/>
  </w:style>
  <w:style w:type="paragraph" w:styleId="Heading1">
    <w:name w:val="heading 1"/>
    <w:basedOn w:val="Normal"/>
    <w:next w:val="Normal"/>
    <w:link w:val="Heading1Char"/>
    <w:uiPriority w:val="9"/>
    <w:qFormat/>
    <w:rsid w:val="008B0C6B"/>
    <w:pPr>
      <w:pageBreakBefore/>
      <w:spacing w:after="240" w:line="300" w:lineRule="atLeast"/>
      <w:outlineLvl w:val="0"/>
    </w:pPr>
    <w:rPr>
      <w:b/>
      <w:color w:val="002554" w:themeColor="text2"/>
      <w:sz w:val="40"/>
      <w:szCs w:val="28"/>
    </w:rPr>
  </w:style>
  <w:style w:type="paragraph" w:styleId="Heading2">
    <w:name w:val="heading 2"/>
    <w:basedOn w:val="Normal"/>
    <w:next w:val="Normal"/>
    <w:link w:val="Heading2Char"/>
    <w:uiPriority w:val="9"/>
    <w:unhideWhenUsed/>
    <w:qFormat/>
    <w:rsid w:val="008B0C6B"/>
    <w:pPr>
      <w:keepNext/>
      <w:spacing w:before="240" w:after="240" w:line="400" w:lineRule="atLeast"/>
      <w:outlineLvl w:val="1"/>
    </w:pPr>
    <w:rPr>
      <w:b/>
      <w:color w:val="002554" w:themeColor="text2"/>
      <w:sz w:val="28"/>
      <w:szCs w:val="28"/>
    </w:rPr>
  </w:style>
  <w:style w:type="paragraph" w:styleId="Heading3">
    <w:name w:val="heading 3"/>
    <w:basedOn w:val="BodyText"/>
    <w:next w:val="Normal"/>
    <w:link w:val="Heading3Char"/>
    <w:uiPriority w:val="9"/>
    <w:unhideWhenUsed/>
    <w:qFormat/>
    <w:rsid w:val="008B0C6B"/>
    <w:pPr>
      <w:keepNext/>
      <w:spacing w:before="240" w:after="120" w:line="240" w:lineRule="auto"/>
      <w:outlineLvl w:val="2"/>
    </w:pPr>
    <w:rPr>
      <w:b/>
      <w:color w:val="002554" w:themeColor="text2"/>
      <w:sz w:val="24"/>
      <w:szCs w:val="24"/>
    </w:rPr>
  </w:style>
  <w:style w:type="paragraph" w:styleId="Heading4">
    <w:name w:val="heading 4"/>
    <w:basedOn w:val="Normal"/>
    <w:next w:val="Normal"/>
    <w:link w:val="Heading4Char"/>
    <w:uiPriority w:val="9"/>
    <w:unhideWhenUsed/>
    <w:qFormat/>
    <w:rsid w:val="007B2053"/>
    <w:pPr>
      <w:outlineLvl w:val="3"/>
    </w:pPr>
    <w:rPr>
      <w:b/>
      <w:color w:val="00255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7906A2"/>
    <w:pPr>
      <w:spacing w:after="240" w:line="300" w:lineRule="atLeast"/>
    </w:pPr>
  </w:style>
  <w:style w:type="character" w:customStyle="1" w:styleId="BodyTextChar">
    <w:name w:val="Body Text Char"/>
    <w:basedOn w:val="DefaultParagraphFont"/>
    <w:link w:val="BodyText"/>
    <w:uiPriority w:val="99"/>
    <w:rsid w:val="007906A2"/>
  </w:style>
  <w:style w:type="character" w:customStyle="1" w:styleId="Heading1Char">
    <w:name w:val="Heading 1 Char"/>
    <w:basedOn w:val="DefaultParagraphFont"/>
    <w:link w:val="Heading1"/>
    <w:uiPriority w:val="9"/>
    <w:rsid w:val="008B0C6B"/>
    <w:rPr>
      <w:b/>
      <w:color w:val="002554" w:themeColor="text2"/>
      <w:sz w:val="40"/>
      <w:szCs w:val="28"/>
    </w:rPr>
  </w:style>
  <w:style w:type="character" w:customStyle="1" w:styleId="Heading2Char">
    <w:name w:val="Heading 2 Char"/>
    <w:basedOn w:val="DefaultParagraphFont"/>
    <w:link w:val="Heading2"/>
    <w:uiPriority w:val="9"/>
    <w:rsid w:val="008B0C6B"/>
    <w:rPr>
      <w:b/>
      <w:color w:val="002554" w:themeColor="text2"/>
      <w:sz w:val="28"/>
      <w:szCs w:val="28"/>
    </w:rPr>
  </w:style>
  <w:style w:type="character" w:customStyle="1" w:styleId="Heading3Char">
    <w:name w:val="Heading 3 Char"/>
    <w:basedOn w:val="DefaultParagraphFont"/>
    <w:link w:val="Heading3"/>
    <w:uiPriority w:val="9"/>
    <w:rsid w:val="008B0C6B"/>
    <w:rPr>
      <w:b/>
      <w:color w:val="002554" w:themeColor="text2"/>
      <w:sz w:val="24"/>
      <w:szCs w:val="24"/>
    </w:rPr>
  </w:style>
  <w:style w:type="paragraph" w:styleId="BodyTextIndent">
    <w:name w:val="Body Text Indent"/>
    <w:basedOn w:val="Normal"/>
    <w:link w:val="BodyTextIndentChar"/>
    <w:uiPriority w:val="99"/>
    <w:unhideWhenUsed/>
    <w:qFormat/>
    <w:rsid w:val="007906A2"/>
    <w:pPr>
      <w:spacing w:after="240" w:line="300" w:lineRule="atLeast"/>
      <w:ind w:left="284"/>
    </w:pPr>
  </w:style>
  <w:style w:type="character" w:customStyle="1" w:styleId="BodyTextIndentChar">
    <w:name w:val="Body Text Indent Char"/>
    <w:basedOn w:val="DefaultParagraphFont"/>
    <w:link w:val="BodyTextIndent"/>
    <w:uiPriority w:val="99"/>
    <w:rsid w:val="007906A2"/>
  </w:style>
  <w:style w:type="paragraph" w:customStyle="1" w:styleId="Bullet1">
    <w:name w:val="Bullet 1"/>
    <w:basedOn w:val="Normal"/>
    <w:qFormat/>
    <w:rsid w:val="008972D6"/>
    <w:pPr>
      <w:numPr>
        <w:numId w:val="6"/>
      </w:numPr>
      <w:spacing w:after="240" w:line="300" w:lineRule="atLeast"/>
      <w:ind w:left="709" w:hanging="357"/>
    </w:pPr>
  </w:style>
  <w:style w:type="paragraph" w:customStyle="1" w:styleId="Bullet2">
    <w:name w:val="Bullet 2"/>
    <w:basedOn w:val="Normal"/>
    <w:qFormat/>
    <w:rsid w:val="008972D6"/>
    <w:pPr>
      <w:numPr>
        <w:ilvl w:val="1"/>
        <w:numId w:val="7"/>
      </w:numPr>
      <w:spacing w:after="240" w:line="300" w:lineRule="atLeast"/>
      <w:ind w:left="993" w:hanging="357"/>
    </w:pPr>
  </w:style>
  <w:style w:type="paragraph" w:customStyle="1" w:styleId="Numberedtext1">
    <w:name w:val="Numbered text 1"/>
    <w:basedOn w:val="Normal"/>
    <w:qFormat/>
    <w:rsid w:val="00F83F07"/>
    <w:pPr>
      <w:numPr>
        <w:numId w:val="8"/>
      </w:numPr>
      <w:spacing w:after="240" w:line="300" w:lineRule="atLeast"/>
      <w:ind w:left="357" w:hanging="357"/>
    </w:pPr>
  </w:style>
  <w:style w:type="paragraph" w:customStyle="1" w:styleId="Numberedtext2">
    <w:name w:val="Numbered text 2"/>
    <w:basedOn w:val="Normal"/>
    <w:qFormat/>
    <w:rsid w:val="00F83F07"/>
    <w:pPr>
      <w:numPr>
        <w:ilvl w:val="1"/>
        <w:numId w:val="8"/>
      </w:numPr>
      <w:spacing w:after="240" w:line="300" w:lineRule="atLeast"/>
      <w:ind w:left="714" w:hanging="357"/>
    </w:pPr>
  </w:style>
  <w:style w:type="paragraph" w:styleId="FootnoteText">
    <w:name w:val="footnote text"/>
    <w:basedOn w:val="Normal"/>
    <w:link w:val="FootnoteTextChar"/>
    <w:uiPriority w:val="99"/>
    <w:unhideWhenUsed/>
    <w:rsid w:val="00FA7843"/>
    <w:pPr>
      <w:spacing w:after="120" w:line="240" w:lineRule="atLeast"/>
    </w:pPr>
    <w:rPr>
      <w:sz w:val="20"/>
      <w:szCs w:val="20"/>
    </w:rPr>
  </w:style>
  <w:style w:type="character" w:customStyle="1" w:styleId="FootnoteTextChar">
    <w:name w:val="Footnote Text Char"/>
    <w:basedOn w:val="DefaultParagraphFont"/>
    <w:link w:val="FootnoteText"/>
    <w:uiPriority w:val="99"/>
    <w:rsid w:val="00FA7843"/>
    <w:rPr>
      <w:sz w:val="20"/>
      <w:szCs w:val="20"/>
    </w:rPr>
  </w:style>
  <w:style w:type="character" w:styleId="FootnoteReference">
    <w:name w:val="footnote reference"/>
    <w:basedOn w:val="DefaultParagraphFont"/>
    <w:uiPriority w:val="99"/>
    <w:unhideWhenUsed/>
    <w:rsid w:val="007906A2"/>
    <w:rPr>
      <w:vertAlign w:val="superscript"/>
    </w:rPr>
  </w:style>
  <w:style w:type="paragraph" w:customStyle="1" w:styleId="Boxedblueheading">
    <w:name w:val="Boxed blue heading"/>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rPr>
      <w:b/>
    </w:rPr>
  </w:style>
  <w:style w:type="paragraph" w:customStyle="1" w:styleId="Boxedbluetext">
    <w:name w:val="Boxed blue text"/>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style>
  <w:style w:type="paragraph" w:customStyle="1" w:styleId="Boxedbluebullet">
    <w:name w:val="Boxed blue bullet"/>
    <w:basedOn w:val="Normal"/>
    <w:qFormat/>
    <w:rsid w:val="00F83F07"/>
    <w:pPr>
      <w:numPr>
        <w:numId w:val="9"/>
      </w:num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641" w:right="284" w:hanging="357"/>
    </w:pPr>
  </w:style>
  <w:style w:type="paragraph" w:customStyle="1" w:styleId="Boxedyellowheading">
    <w:name w:val="Boxed yellow heading"/>
    <w:basedOn w:val="Boxedblueheading"/>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text">
    <w:name w:val="Boxed yellow text"/>
    <w:basedOn w:val="Boxedbluetex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bullet">
    <w:name w:val="Boxed yellow bullet"/>
    <w:basedOn w:val="Boxedbluebulle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table" w:styleId="TableGrid">
    <w:name w:val="Table Grid"/>
    <w:basedOn w:val="TableNormal"/>
    <w:uiPriority w:val="39"/>
    <w:rsid w:val="00790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906A2"/>
    <w:pPr>
      <w:spacing w:after="0" w:line="240" w:lineRule="auto"/>
    </w:pPr>
    <w:tblPr>
      <w:tblStyleRowBandSize w:val="1"/>
      <w:tblStyleColBandSize w:val="1"/>
      <w:tblBorders>
        <w:top w:val="single" w:sz="4" w:space="0" w:color="002554" w:themeColor="accent1"/>
        <w:left w:val="single" w:sz="4" w:space="0" w:color="002554" w:themeColor="accent1"/>
        <w:bottom w:val="single" w:sz="4" w:space="0" w:color="002554" w:themeColor="accent1"/>
        <w:right w:val="single" w:sz="4" w:space="0" w:color="002554" w:themeColor="accent1"/>
      </w:tblBorders>
    </w:tblPr>
    <w:tblStylePr w:type="firstRow">
      <w:rPr>
        <w:b/>
        <w:bCs/>
        <w:color w:val="FFFFFF" w:themeColor="background1"/>
      </w:rPr>
      <w:tblPr/>
      <w:tcPr>
        <w:shd w:val="clear" w:color="auto" w:fill="002554" w:themeFill="accent1"/>
      </w:tcPr>
    </w:tblStylePr>
    <w:tblStylePr w:type="lastRow">
      <w:rPr>
        <w:b/>
        <w:bCs/>
      </w:rPr>
      <w:tblPr/>
      <w:tcPr>
        <w:tcBorders>
          <w:top w:val="double" w:sz="4" w:space="0" w:color="0025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1"/>
          <w:right w:val="single" w:sz="4" w:space="0" w:color="002554" w:themeColor="accent1"/>
        </w:tcBorders>
      </w:tcPr>
    </w:tblStylePr>
    <w:tblStylePr w:type="band1Horz">
      <w:tblPr/>
      <w:tcPr>
        <w:tcBorders>
          <w:top w:val="single" w:sz="4" w:space="0" w:color="002554" w:themeColor="accent1"/>
          <w:bottom w:val="single" w:sz="4" w:space="0" w:color="0025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1"/>
          <w:left w:val="nil"/>
        </w:tcBorders>
      </w:tcPr>
    </w:tblStylePr>
    <w:tblStylePr w:type="swCell">
      <w:tblPr/>
      <w:tcPr>
        <w:tcBorders>
          <w:top w:val="double" w:sz="4" w:space="0" w:color="002554" w:themeColor="accent1"/>
          <w:right w:val="nil"/>
        </w:tcBorders>
      </w:tcPr>
    </w:tblStylePr>
  </w:style>
  <w:style w:type="table" w:styleId="ListTable3-Accent3">
    <w:name w:val="List Table 3 Accent 3"/>
    <w:basedOn w:val="TableNormal"/>
    <w:uiPriority w:val="48"/>
    <w:rsid w:val="007906A2"/>
    <w:pPr>
      <w:spacing w:after="0" w:line="240" w:lineRule="auto"/>
    </w:pPr>
    <w:tblPr>
      <w:tblStyleRowBandSize w:val="1"/>
      <w:tblStyleColBandSize w:val="1"/>
      <w:tblBorders>
        <w:top w:val="single" w:sz="4" w:space="0" w:color="002554" w:themeColor="accent3"/>
        <w:left w:val="single" w:sz="4" w:space="0" w:color="002554" w:themeColor="accent3"/>
        <w:bottom w:val="single" w:sz="4" w:space="0" w:color="002554" w:themeColor="accent3"/>
        <w:right w:val="single" w:sz="4" w:space="0" w:color="002554" w:themeColor="accent3"/>
      </w:tblBorders>
    </w:tblPr>
    <w:tblStylePr w:type="firstRow">
      <w:rPr>
        <w:b/>
        <w:bCs/>
        <w:color w:val="FFFFFF" w:themeColor="background1"/>
      </w:rPr>
      <w:tblPr/>
      <w:tcPr>
        <w:shd w:val="clear" w:color="auto" w:fill="002554" w:themeFill="accent3"/>
      </w:tcPr>
    </w:tblStylePr>
    <w:tblStylePr w:type="lastRow">
      <w:rPr>
        <w:b/>
        <w:bCs/>
      </w:rPr>
      <w:tblPr/>
      <w:tcPr>
        <w:tcBorders>
          <w:top w:val="double" w:sz="4" w:space="0" w:color="00255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3"/>
          <w:right w:val="single" w:sz="4" w:space="0" w:color="002554" w:themeColor="accent3"/>
        </w:tcBorders>
      </w:tcPr>
    </w:tblStylePr>
    <w:tblStylePr w:type="band1Horz">
      <w:tblPr/>
      <w:tcPr>
        <w:tcBorders>
          <w:top w:val="single" w:sz="4" w:space="0" w:color="002554" w:themeColor="accent3"/>
          <w:bottom w:val="single" w:sz="4" w:space="0" w:color="00255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3"/>
          <w:left w:val="nil"/>
        </w:tcBorders>
      </w:tcPr>
    </w:tblStylePr>
    <w:tblStylePr w:type="swCell">
      <w:tblPr/>
      <w:tcPr>
        <w:tcBorders>
          <w:top w:val="double" w:sz="4" w:space="0" w:color="002554" w:themeColor="accent3"/>
          <w:right w:val="nil"/>
        </w:tcBorders>
      </w:tcPr>
    </w:tblStylePr>
  </w:style>
  <w:style w:type="paragraph" w:customStyle="1" w:styleId="Headline">
    <w:name w:val="Headline"/>
    <w:basedOn w:val="Heading1"/>
    <w:qFormat/>
    <w:rsid w:val="00230F2C"/>
    <w:rPr>
      <w:szCs w:val="40"/>
    </w:rPr>
  </w:style>
  <w:style w:type="paragraph" w:customStyle="1" w:styleId="TH">
    <w:name w:val="TH"/>
    <w:basedOn w:val="Normal"/>
    <w:qFormat/>
    <w:rsid w:val="00230F2C"/>
    <w:pPr>
      <w:spacing w:before="60" w:after="60" w:line="240" w:lineRule="auto"/>
    </w:pPr>
    <w:rPr>
      <w:bCs/>
      <w:color w:val="FFFFFF" w:themeColor="background1"/>
    </w:rPr>
  </w:style>
  <w:style w:type="paragraph" w:customStyle="1" w:styleId="TD">
    <w:name w:val="TD"/>
    <w:basedOn w:val="Normal"/>
    <w:qFormat/>
    <w:rsid w:val="00230F2C"/>
    <w:pPr>
      <w:spacing w:before="60" w:after="60" w:line="240" w:lineRule="auto"/>
    </w:pPr>
  </w:style>
  <w:style w:type="paragraph" w:styleId="Header">
    <w:name w:val="header"/>
    <w:basedOn w:val="Normal"/>
    <w:link w:val="HeaderChar"/>
    <w:uiPriority w:val="99"/>
    <w:unhideWhenUsed/>
    <w:qFormat/>
    <w:rsid w:val="000D5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586"/>
  </w:style>
  <w:style w:type="paragraph" w:styleId="Footer">
    <w:name w:val="footer"/>
    <w:basedOn w:val="Normal"/>
    <w:link w:val="FooterChar"/>
    <w:uiPriority w:val="99"/>
    <w:unhideWhenUsed/>
    <w:qFormat/>
    <w:rsid w:val="000D5586"/>
    <w:pPr>
      <w:tabs>
        <w:tab w:val="center" w:pos="4513"/>
        <w:tab w:val="right" w:pos="9026"/>
      </w:tabs>
      <w:spacing w:after="0" w:line="240" w:lineRule="auto"/>
      <w:jc w:val="right"/>
    </w:pPr>
    <w:rPr>
      <w:sz w:val="20"/>
      <w:szCs w:val="20"/>
    </w:rPr>
  </w:style>
  <w:style w:type="character" w:customStyle="1" w:styleId="FooterChar">
    <w:name w:val="Footer Char"/>
    <w:basedOn w:val="DefaultParagraphFont"/>
    <w:link w:val="Footer"/>
    <w:uiPriority w:val="99"/>
    <w:rsid w:val="000D5586"/>
    <w:rPr>
      <w:sz w:val="20"/>
      <w:szCs w:val="20"/>
    </w:rPr>
  </w:style>
  <w:style w:type="paragraph" w:styleId="NoSpacing">
    <w:name w:val="No Spacing"/>
    <w:uiPriority w:val="1"/>
    <w:qFormat/>
    <w:rsid w:val="000D5586"/>
    <w:pPr>
      <w:spacing w:after="0" w:line="240" w:lineRule="auto"/>
    </w:pPr>
  </w:style>
  <w:style w:type="paragraph" w:styleId="TOCHeading">
    <w:name w:val="TOC Heading"/>
    <w:basedOn w:val="Heading1"/>
    <w:next w:val="Normal"/>
    <w:uiPriority w:val="39"/>
    <w:unhideWhenUsed/>
    <w:qFormat/>
    <w:rsid w:val="00B00DA0"/>
    <w:pPr>
      <w:keepNext/>
      <w:keepLines/>
      <w:spacing w:after="0" w:line="259" w:lineRule="auto"/>
      <w:outlineLvl w:val="9"/>
    </w:pPr>
    <w:rPr>
      <w:rFonts w:asciiTheme="majorHAnsi" w:eastAsiaTheme="majorEastAsia" w:hAnsiTheme="majorHAnsi" w:cstheme="majorBidi"/>
      <w:color w:val="001B3E" w:themeColor="accent1" w:themeShade="BF"/>
      <w:lang w:val="en-US"/>
    </w:rPr>
  </w:style>
  <w:style w:type="paragraph" w:styleId="TOC1">
    <w:name w:val="toc 1"/>
    <w:basedOn w:val="Normal"/>
    <w:next w:val="Normal"/>
    <w:autoRedefine/>
    <w:uiPriority w:val="39"/>
    <w:unhideWhenUsed/>
    <w:qFormat/>
    <w:rsid w:val="00534E63"/>
    <w:pPr>
      <w:tabs>
        <w:tab w:val="right" w:pos="9628"/>
      </w:tabs>
      <w:spacing w:before="240" w:after="120" w:line="240" w:lineRule="auto"/>
    </w:pPr>
    <w:rPr>
      <w:b/>
      <w:noProof/>
    </w:rPr>
  </w:style>
  <w:style w:type="paragraph" w:styleId="TOC2">
    <w:name w:val="toc 2"/>
    <w:basedOn w:val="Normal"/>
    <w:next w:val="Normal"/>
    <w:autoRedefine/>
    <w:uiPriority w:val="39"/>
    <w:unhideWhenUsed/>
    <w:qFormat/>
    <w:rsid w:val="002159C7"/>
    <w:pPr>
      <w:tabs>
        <w:tab w:val="right" w:pos="9628"/>
      </w:tabs>
      <w:spacing w:after="120" w:line="240" w:lineRule="auto"/>
      <w:ind w:firstLine="425"/>
    </w:pPr>
    <w:rPr>
      <w:noProof/>
    </w:rPr>
  </w:style>
  <w:style w:type="paragraph" w:styleId="ListParagraph">
    <w:name w:val="List Paragraph"/>
    <w:basedOn w:val="Normal"/>
    <w:uiPriority w:val="34"/>
    <w:rsid w:val="004C31D6"/>
    <w:pPr>
      <w:ind w:left="720"/>
      <w:contextualSpacing/>
    </w:pPr>
  </w:style>
  <w:style w:type="paragraph" w:customStyle="1" w:styleId="Boxedbluenumbered">
    <w:name w:val="Boxed blue numbered"/>
    <w:basedOn w:val="Boxedbluetext"/>
    <w:qFormat/>
    <w:rsid w:val="004C31D6"/>
    <w:pPr>
      <w:numPr>
        <w:numId w:val="16"/>
      </w:numPr>
      <w:ind w:left="641" w:hanging="357"/>
    </w:pPr>
  </w:style>
  <w:style w:type="paragraph" w:customStyle="1" w:styleId="Boxedyellownumber">
    <w:name w:val="Boxed yellow number"/>
    <w:basedOn w:val="Boxedyellowbullet"/>
    <w:qFormat/>
    <w:rsid w:val="004C31D6"/>
    <w:pPr>
      <w:numPr>
        <w:numId w:val="18"/>
      </w:numPr>
      <w:ind w:left="641" w:hanging="357"/>
    </w:pPr>
  </w:style>
  <w:style w:type="paragraph" w:styleId="TOC3">
    <w:name w:val="toc 3"/>
    <w:basedOn w:val="Normal"/>
    <w:next w:val="Normal"/>
    <w:autoRedefine/>
    <w:uiPriority w:val="39"/>
    <w:unhideWhenUsed/>
    <w:rsid w:val="003528BB"/>
    <w:pPr>
      <w:spacing w:after="100"/>
      <w:ind w:left="440"/>
    </w:pPr>
  </w:style>
  <w:style w:type="character" w:styleId="Hyperlink">
    <w:name w:val="Hyperlink"/>
    <w:basedOn w:val="DefaultParagraphFont"/>
    <w:uiPriority w:val="99"/>
    <w:unhideWhenUsed/>
    <w:rsid w:val="00E246A7"/>
    <w:rPr>
      <w:color w:val="000000" w:themeColor="hyperlink"/>
      <w:u w:val="single"/>
    </w:rPr>
  </w:style>
  <w:style w:type="paragraph" w:customStyle="1" w:styleId="Covertitle">
    <w:name w:val="Cover title"/>
    <w:basedOn w:val="Normal"/>
    <w:qFormat/>
    <w:rsid w:val="00517F83"/>
    <w:rPr>
      <w:b/>
      <w:color w:val="002554" w:themeColor="text2"/>
      <w:sz w:val="56"/>
      <w:szCs w:val="56"/>
    </w:rPr>
  </w:style>
  <w:style w:type="paragraph" w:customStyle="1" w:styleId="Coversubtitle">
    <w:name w:val="Cover subtitle"/>
    <w:basedOn w:val="Normal"/>
    <w:qFormat/>
    <w:rsid w:val="00517F83"/>
    <w:rPr>
      <w:b/>
      <w:color w:val="002554" w:themeColor="text2"/>
      <w:sz w:val="36"/>
      <w:szCs w:val="36"/>
    </w:rPr>
  </w:style>
  <w:style w:type="paragraph" w:customStyle="1" w:styleId="Coverdate">
    <w:name w:val="Cover date"/>
    <w:basedOn w:val="Normal"/>
    <w:qFormat/>
    <w:rsid w:val="00517F83"/>
    <w:rPr>
      <w:color w:val="002554" w:themeColor="text2"/>
      <w:sz w:val="24"/>
      <w:szCs w:val="24"/>
    </w:rPr>
  </w:style>
  <w:style w:type="paragraph" w:customStyle="1" w:styleId="Coverreference">
    <w:name w:val="Cover reference"/>
    <w:basedOn w:val="Normal"/>
    <w:qFormat/>
    <w:rsid w:val="001C77CB"/>
    <w:rPr>
      <w:color w:val="002554" w:themeColor="text2"/>
      <w:sz w:val="24"/>
    </w:rPr>
  </w:style>
  <w:style w:type="paragraph" w:customStyle="1" w:styleId="Coverpurposeaction">
    <w:name w:val="Cover purpose action"/>
    <w:basedOn w:val="Normal"/>
    <w:qFormat/>
    <w:rsid w:val="00517F83"/>
    <w:rPr>
      <w:b/>
      <w:color w:val="002554" w:themeColor="text2"/>
      <w:sz w:val="24"/>
      <w:szCs w:val="24"/>
    </w:rPr>
  </w:style>
  <w:style w:type="paragraph" w:customStyle="1" w:styleId="Covertoetc">
    <w:name w:val="Cover to etc"/>
    <w:basedOn w:val="Normal"/>
    <w:qFormat/>
    <w:rsid w:val="00517F83"/>
    <w:rPr>
      <w:b/>
      <w:color w:val="002554" w:themeColor="text2"/>
      <w:sz w:val="24"/>
      <w:szCs w:val="24"/>
    </w:rPr>
  </w:style>
  <w:style w:type="paragraph" w:styleId="BalloonText">
    <w:name w:val="Balloon Text"/>
    <w:basedOn w:val="Normal"/>
    <w:link w:val="BalloonTextChar"/>
    <w:uiPriority w:val="99"/>
    <w:semiHidden/>
    <w:unhideWhenUsed/>
    <w:rsid w:val="00897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2D6"/>
    <w:rPr>
      <w:rFonts w:ascii="Segoe UI" w:hAnsi="Segoe UI" w:cs="Segoe UI"/>
      <w:sz w:val="18"/>
      <w:szCs w:val="18"/>
    </w:rPr>
  </w:style>
  <w:style w:type="character" w:customStyle="1" w:styleId="Heading4Char">
    <w:name w:val="Heading 4 Char"/>
    <w:basedOn w:val="DefaultParagraphFont"/>
    <w:link w:val="Heading4"/>
    <w:uiPriority w:val="9"/>
    <w:rsid w:val="007B2053"/>
    <w:rPr>
      <w:b/>
      <w:color w:val="002554" w:themeColor="text2"/>
    </w:rPr>
  </w:style>
  <w:style w:type="paragraph" w:customStyle="1" w:styleId="paragraph">
    <w:name w:val="paragraph"/>
    <w:basedOn w:val="Normal"/>
    <w:rsid w:val="00A410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410D7"/>
  </w:style>
  <w:style w:type="character" w:customStyle="1" w:styleId="eop">
    <w:name w:val="eop"/>
    <w:basedOn w:val="DefaultParagraphFont"/>
    <w:rsid w:val="00A410D7"/>
  </w:style>
  <w:style w:type="character" w:styleId="CommentReference">
    <w:name w:val="annotation reference"/>
    <w:basedOn w:val="DefaultParagraphFont"/>
    <w:uiPriority w:val="99"/>
    <w:semiHidden/>
    <w:unhideWhenUsed/>
    <w:rsid w:val="00A410D7"/>
    <w:rPr>
      <w:sz w:val="16"/>
      <w:szCs w:val="16"/>
    </w:rPr>
  </w:style>
  <w:style w:type="paragraph" w:styleId="CommentText">
    <w:name w:val="annotation text"/>
    <w:basedOn w:val="Normal"/>
    <w:link w:val="CommentTextChar"/>
    <w:uiPriority w:val="99"/>
    <w:unhideWhenUsed/>
    <w:rsid w:val="00A410D7"/>
    <w:pPr>
      <w:spacing w:line="240" w:lineRule="auto"/>
    </w:pPr>
    <w:rPr>
      <w:sz w:val="20"/>
      <w:szCs w:val="20"/>
    </w:rPr>
  </w:style>
  <w:style w:type="character" w:customStyle="1" w:styleId="CommentTextChar">
    <w:name w:val="Comment Text Char"/>
    <w:basedOn w:val="DefaultParagraphFont"/>
    <w:link w:val="CommentText"/>
    <w:uiPriority w:val="99"/>
    <w:rsid w:val="00A410D7"/>
    <w:rPr>
      <w:sz w:val="20"/>
      <w:szCs w:val="20"/>
    </w:rPr>
  </w:style>
  <w:style w:type="character" w:styleId="Mention">
    <w:name w:val="Mention"/>
    <w:basedOn w:val="DefaultParagraphFont"/>
    <w:uiPriority w:val="99"/>
    <w:unhideWhenUsed/>
    <w:rsid w:val="00A410D7"/>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C04D2A"/>
    <w:rPr>
      <w:b/>
      <w:bCs/>
    </w:rPr>
  </w:style>
  <w:style w:type="character" w:customStyle="1" w:styleId="CommentSubjectChar">
    <w:name w:val="Comment Subject Char"/>
    <w:basedOn w:val="CommentTextChar"/>
    <w:link w:val="CommentSubject"/>
    <w:uiPriority w:val="99"/>
    <w:semiHidden/>
    <w:rsid w:val="00C04D2A"/>
    <w:rPr>
      <w:b/>
      <w:bCs/>
      <w:sz w:val="20"/>
      <w:szCs w:val="20"/>
    </w:rPr>
  </w:style>
  <w:style w:type="character" w:styleId="UnresolvedMention">
    <w:name w:val="Unresolved Mention"/>
    <w:basedOn w:val="DefaultParagraphFont"/>
    <w:uiPriority w:val="99"/>
    <w:semiHidden/>
    <w:unhideWhenUsed/>
    <w:rsid w:val="00FA7843"/>
    <w:rPr>
      <w:color w:val="605E5C"/>
      <w:shd w:val="clear" w:color="auto" w:fill="E1DFDD"/>
    </w:rPr>
  </w:style>
  <w:style w:type="character" w:styleId="FollowedHyperlink">
    <w:name w:val="FollowedHyperlink"/>
    <w:basedOn w:val="DefaultParagraphFont"/>
    <w:uiPriority w:val="99"/>
    <w:semiHidden/>
    <w:unhideWhenUsed/>
    <w:rsid w:val="001C3A0E"/>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trac@officeforstudents.org.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8" Type="http://schemas.openxmlformats.org/officeDocument/2006/relationships/hyperlink" Target="http://www.trac.ac.uk/tracguidance/" TargetMode="External"/><Relationship Id="rId3" Type="http://schemas.openxmlformats.org/officeDocument/2006/relationships/hyperlink" Target="https://www.officeforstudents.org.uk/publications/annual-trac-2017-18/" TargetMode="External"/><Relationship Id="rId7" Type="http://schemas.openxmlformats.org/officeDocument/2006/relationships/hyperlink" Target="http://www.trac.ac.uk/tracguidance/" TargetMode="External"/><Relationship Id="rId12" Type="http://schemas.openxmlformats.org/officeDocument/2006/relationships/hyperlink" Target="https://www.officeforstudents.org.uk/advice-and-guidance/partnerships-and-collaboration/financial-sustainability-and-trac/review-of-trac/" TargetMode="External"/><Relationship Id="rId2" Type="http://schemas.openxmlformats.org/officeDocument/2006/relationships/hyperlink" Target="https://www.officeforstudents.org.uk/data-and-analysis/trac-data/published-data-2016-17/" TargetMode="External"/><Relationship Id="rId1" Type="http://schemas.openxmlformats.org/officeDocument/2006/relationships/hyperlink" Target="https://www.trac.ac.uk/tracguidance/" TargetMode="External"/><Relationship Id="rId6" Type="http://schemas.openxmlformats.org/officeDocument/2006/relationships/hyperlink" Target="http://www.trac.ac.uk/tracguidance/" TargetMode="External"/><Relationship Id="rId11" Type="http://schemas.openxmlformats.org/officeDocument/2006/relationships/hyperlink" Target="https://www.trac.ac.uk/tracguidance/" TargetMode="External"/><Relationship Id="rId5" Type="http://schemas.openxmlformats.org/officeDocument/2006/relationships/hyperlink" Target="https://www.officeforstudents.org.uk/data-and-analysis/trac-data/published-data-2019-20/" TargetMode="External"/><Relationship Id="rId10" Type="http://schemas.openxmlformats.org/officeDocument/2006/relationships/hyperlink" Target="https://www.officeforstudents.org.uk/data-and-analysis/trac-data/published-data-2019-20/" TargetMode="External"/><Relationship Id="rId4" Type="http://schemas.openxmlformats.org/officeDocument/2006/relationships/hyperlink" Target="https://www.officeforstudents.org.uk/publications/annual-trac-2018-19/" TargetMode="External"/><Relationship Id="rId9" Type="http://schemas.openxmlformats.org/officeDocument/2006/relationships/hyperlink" Target="http://www.trac.ac.uk/trac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2554"/>
      </a:dk2>
      <a:lt2>
        <a:srgbClr val="E7E6E6"/>
      </a:lt2>
      <a:accent1>
        <a:srgbClr val="002554"/>
      </a:accent1>
      <a:accent2>
        <a:srgbClr val="F1B434"/>
      </a:accent2>
      <a:accent3>
        <a:srgbClr val="002554"/>
      </a:accent3>
      <a:accent4>
        <a:srgbClr val="F1B434"/>
      </a:accent4>
      <a:accent5>
        <a:srgbClr val="DDECFF"/>
      </a:accent5>
      <a:accent6>
        <a:srgbClr val="FDF2DB"/>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ac42e1f-8393-410e-9ca5-f333132f5efe"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3e405583-359d-43b4-b273-0eaaf844b1bc"/>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D010261F054994E932308ADBDEBD0FC" ma:contentTypeVersion="18" ma:contentTypeDescription="Create a new document." ma:contentTypeScope="" ma:versionID="f283ee0f68768ce280b57d8e475388fc">
  <xsd:schema xmlns:xsd="http://www.w3.org/2001/XMLSchema" xmlns:xs="http://www.w3.org/2001/XMLSchema" xmlns:p="http://schemas.microsoft.com/office/2006/metadata/properties" xmlns:ns2="abfad1d3-5ec7-49b6-b887-0dfc74677006" xmlns:ns3="d3baf7f9-4022-4b25-a706-e2615f1f01c2" xmlns:ns4="3e405583-359d-43b4-b273-0eaaf844b1bc" targetNamespace="http://schemas.microsoft.com/office/2006/metadata/properties" ma:root="true" ma:fieldsID="f5dc6c77630a06c6b6f9154ca1c47a20" ns2:_="" ns3:_="" ns4:_="">
    <xsd:import namespace="abfad1d3-5ec7-49b6-b887-0dfc74677006"/>
    <xsd:import namespace="d3baf7f9-4022-4b25-a706-e2615f1f01c2"/>
    <xsd:import namespace="3e405583-359d-43b4-b273-0eaaf844b1bc"/>
    <xsd:element name="properties">
      <xsd:complexType>
        <xsd:sequence>
          <xsd:element name="documentManagement">
            <xsd:complexType>
              <xsd:all>
                <xsd:element ref="ns2:MediaServiceFastMetadata" minOccurs="0"/>
                <xsd:element ref="ns2:MediaService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ad1d3-5ec7-49b6-b887-0dfc74677006"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af7f9-4022-4b25-a706-e2615f1f01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405583-359d-43b4-b273-0eaaf844b1b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3a5795c-6e30-49f0-b254-a4e087637fa8}" ma:internalName="TaxCatchAll" ma:showField="CatchAllData" ma:web="d3baf7f9-4022-4b25-a706-e2615f1f01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3CFE21-4D7E-40C3-8583-94660018A344}">
  <ds:schemaRefs>
    <ds:schemaRef ds:uri="http://schemas.openxmlformats.org/officeDocument/2006/bibliography"/>
  </ds:schemaRefs>
</ds:datastoreItem>
</file>

<file path=customXml/itemProps2.xml><?xml version="1.0" encoding="utf-8"?>
<ds:datastoreItem xmlns:ds="http://schemas.openxmlformats.org/officeDocument/2006/customXml" ds:itemID="{556CDCAA-C408-4765-9D59-DEC1808E9B8E}">
  <ds:schemaRefs>
    <ds:schemaRef ds:uri="http://schemas.microsoft.com/sharepoint/v3/contenttype/forms"/>
  </ds:schemaRefs>
</ds:datastoreItem>
</file>

<file path=customXml/itemProps3.xml><?xml version="1.0" encoding="utf-8"?>
<ds:datastoreItem xmlns:ds="http://schemas.openxmlformats.org/officeDocument/2006/customXml" ds:itemID="{7F0F5AAB-EC5F-4773-99D5-06C31368F44C}">
  <ds:schemaRefs>
    <ds:schemaRef ds:uri="Microsoft.SharePoint.Taxonomy.ContentTypeSync"/>
  </ds:schemaRefs>
</ds:datastoreItem>
</file>

<file path=customXml/itemProps4.xml><?xml version="1.0" encoding="utf-8"?>
<ds:datastoreItem xmlns:ds="http://schemas.openxmlformats.org/officeDocument/2006/customXml" ds:itemID="{0066BDC5-2F9F-43DA-B4F7-9F75FB586099}">
  <ds:schemaRefs>
    <ds:schemaRef ds:uri="http://schemas.microsoft.com/office/2006/metadata/properties"/>
    <ds:schemaRef ds:uri="http://schemas.microsoft.com/office/infopath/2007/PartnerControls"/>
    <ds:schemaRef ds:uri="3e405583-359d-43b4-b273-0eaaf844b1bc"/>
    <ds:schemaRef ds:uri="9725470d-b104-4800-856e-7fa0935e3508"/>
  </ds:schemaRefs>
</ds:datastoreItem>
</file>

<file path=customXml/itemProps5.xml><?xml version="1.0" encoding="utf-8"?>
<ds:datastoreItem xmlns:ds="http://schemas.openxmlformats.org/officeDocument/2006/customXml" ds:itemID="{5727C79A-1A8D-43FC-93D4-A58419E54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ad1d3-5ec7-49b6-b887-0dfc74677006"/>
    <ds:schemaRef ds:uri="d3baf7f9-4022-4b25-a706-e2615f1f01c2"/>
    <ds:schemaRef ds:uri="3e405583-359d-43b4-b273-0eaaf844b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21</Pages>
  <Words>4712</Words>
  <Characters>26015</Characters>
  <Application>Microsoft Office Word</Application>
  <DocSecurity>0</DocSecurity>
  <Lines>1131</Lines>
  <Paragraphs>787</Paragraphs>
  <ScaleCrop>false</ScaleCrop>
  <HeadingPairs>
    <vt:vector size="2" baseType="variant">
      <vt:variant>
        <vt:lpstr>Title</vt:lpstr>
      </vt:variant>
      <vt:variant>
        <vt:i4>1</vt:i4>
      </vt:variant>
    </vt:vector>
  </HeadingPairs>
  <TitlesOfParts>
    <vt:vector size="1" baseType="lpstr">
      <vt:lpstr>TRAC 2019-20 Sector summary and analysis by peer group</vt:lpstr>
    </vt:vector>
  </TitlesOfParts>
  <Company/>
  <LinksUpToDate>false</LinksUpToDate>
  <CharactersWithSpaces>29940</CharactersWithSpaces>
  <SharedDoc>false</SharedDoc>
  <HLinks>
    <vt:vector size="168" baseType="variant">
      <vt:variant>
        <vt:i4>3932245</vt:i4>
      </vt:variant>
      <vt:variant>
        <vt:i4>105</vt:i4>
      </vt:variant>
      <vt:variant>
        <vt:i4>0</vt:i4>
      </vt:variant>
      <vt:variant>
        <vt:i4>5</vt:i4>
      </vt:variant>
      <vt:variant>
        <vt:lpwstr>mailto:trac@officeforstudents.org.uk</vt:lpwstr>
      </vt:variant>
      <vt:variant>
        <vt:lpwstr/>
      </vt:variant>
      <vt:variant>
        <vt:i4>1114168</vt:i4>
      </vt:variant>
      <vt:variant>
        <vt:i4>98</vt:i4>
      </vt:variant>
      <vt:variant>
        <vt:i4>0</vt:i4>
      </vt:variant>
      <vt:variant>
        <vt:i4>5</vt:i4>
      </vt:variant>
      <vt:variant>
        <vt:lpwstr/>
      </vt:variant>
      <vt:variant>
        <vt:lpwstr>_Toc78299740</vt:lpwstr>
      </vt:variant>
      <vt:variant>
        <vt:i4>1572927</vt:i4>
      </vt:variant>
      <vt:variant>
        <vt:i4>92</vt:i4>
      </vt:variant>
      <vt:variant>
        <vt:i4>0</vt:i4>
      </vt:variant>
      <vt:variant>
        <vt:i4>5</vt:i4>
      </vt:variant>
      <vt:variant>
        <vt:lpwstr/>
      </vt:variant>
      <vt:variant>
        <vt:lpwstr>_Toc78299739</vt:lpwstr>
      </vt:variant>
      <vt:variant>
        <vt:i4>1638463</vt:i4>
      </vt:variant>
      <vt:variant>
        <vt:i4>86</vt:i4>
      </vt:variant>
      <vt:variant>
        <vt:i4>0</vt:i4>
      </vt:variant>
      <vt:variant>
        <vt:i4>5</vt:i4>
      </vt:variant>
      <vt:variant>
        <vt:lpwstr/>
      </vt:variant>
      <vt:variant>
        <vt:lpwstr>_Toc78299738</vt:lpwstr>
      </vt:variant>
      <vt:variant>
        <vt:i4>1441855</vt:i4>
      </vt:variant>
      <vt:variant>
        <vt:i4>80</vt:i4>
      </vt:variant>
      <vt:variant>
        <vt:i4>0</vt:i4>
      </vt:variant>
      <vt:variant>
        <vt:i4>5</vt:i4>
      </vt:variant>
      <vt:variant>
        <vt:lpwstr/>
      </vt:variant>
      <vt:variant>
        <vt:lpwstr>_Toc78299737</vt:lpwstr>
      </vt:variant>
      <vt:variant>
        <vt:i4>1507391</vt:i4>
      </vt:variant>
      <vt:variant>
        <vt:i4>74</vt:i4>
      </vt:variant>
      <vt:variant>
        <vt:i4>0</vt:i4>
      </vt:variant>
      <vt:variant>
        <vt:i4>5</vt:i4>
      </vt:variant>
      <vt:variant>
        <vt:lpwstr/>
      </vt:variant>
      <vt:variant>
        <vt:lpwstr>_Toc78299736</vt:lpwstr>
      </vt:variant>
      <vt:variant>
        <vt:i4>1310783</vt:i4>
      </vt:variant>
      <vt:variant>
        <vt:i4>68</vt:i4>
      </vt:variant>
      <vt:variant>
        <vt:i4>0</vt:i4>
      </vt:variant>
      <vt:variant>
        <vt:i4>5</vt:i4>
      </vt:variant>
      <vt:variant>
        <vt:lpwstr/>
      </vt:variant>
      <vt:variant>
        <vt:lpwstr>_Toc78299735</vt:lpwstr>
      </vt:variant>
      <vt:variant>
        <vt:i4>1376319</vt:i4>
      </vt:variant>
      <vt:variant>
        <vt:i4>62</vt:i4>
      </vt:variant>
      <vt:variant>
        <vt:i4>0</vt:i4>
      </vt:variant>
      <vt:variant>
        <vt:i4>5</vt:i4>
      </vt:variant>
      <vt:variant>
        <vt:lpwstr/>
      </vt:variant>
      <vt:variant>
        <vt:lpwstr>_Toc78299734</vt:lpwstr>
      </vt:variant>
      <vt:variant>
        <vt:i4>1179711</vt:i4>
      </vt:variant>
      <vt:variant>
        <vt:i4>56</vt:i4>
      </vt:variant>
      <vt:variant>
        <vt:i4>0</vt:i4>
      </vt:variant>
      <vt:variant>
        <vt:i4>5</vt:i4>
      </vt:variant>
      <vt:variant>
        <vt:lpwstr/>
      </vt:variant>
      <vt:variant>
        <vt:lpwstr>_Toc78299733</vt:lpwstr>
      </vt:variant>
      <vt:variant>
        <vt:i4>1245247</vt:i4>
      </vt:variant>
      <vt:variant>
        <vt:i4>50</vt:i4>
      </vt:variant>
      <vt:variant>
        <vt:i4>0</vt:i4>
      </vt:variant>
      <vt:variant>
        <vt:i4>5</vt:i4>
      </vt:variant>
      <vt:variant>
        <vt:lpwstr/>
      </vt:variant>
      <vt:variant>
        <vt:lpwstr>_Toc78299732</vt:lpwstr>
      </vt:variant>
      <vt:variant>
        <vt:i4>1048639</vt:i4>
      </vt:variant>
      <vt:variant>
        <vt:i4>44</vt:i4>
      </vt:variant>
      <vt:variant>
        <vt:i4>0</vt:i4>
      </vt:variant>
      <vt:variant>
        <vt:i4>5</vt:i4>
      </vt:variant>
      <vt:variant>
        <vt:lpwstr/>
      </vt:variant>
      <vt:variant>
        <vt:lpwstr>_Toc78299731</vt:lpwstr>
      </vt:variant>
      <vt:variant>
        <vt:i4>1114175</vt:i4>
      </vt:variant>
      <vt:variant>
        <vt:i4>38</vt:i4>
      </vt:variant>
      <vt:variant>
        <vt:i4>0</vt:i4>
      </vt:variant>
      <vt:variant>
        <vt:i4>5</vt:i4>
      </vt:variant>
      <vt:variant>
        <vt:lpwstr/>
      </vt:variant>
      <vt:variant>
        <vt:lpwstr>_Toc78299730</vt:lpwstr>
      </vt:variant>
      <vt:variant>
        <vt:i4>1572926</vt:i4>
      </vt:variant>
      <vt:variant>
        <vt:i4>32</vt:i4>
      </vt:variant>
      <vt:variant>
        <vt:i4>0</vt:i4>
      </vt:variant>
      <vt:variant>
        <vt:i4>5</vt:i4>
      </vt:variant>
      <vt:variant>
        <vt:lpwstr/>
      </vt:variant>
      <vt:variant>
        <vt:lpwstr>_Toc78299729</vt:lpwstr>
      </vt:variant>
      <vt:variant>
        <vt:i4>1638462</vt:i4>
      </vt:variant>
      <vt:variant>
        <vt:i4>26</vt:i4>
      </vt:variant>
      <vt:variant>
        <vt:i4>0</vt:i4>
      </vt:variant>
      <vt:variant>
        <vt:i4>5</vt:i4>
      </vt:variant>
      <vt:variant>
        <vt:lpwstr/>
      </vt:variant>
      <vt:variant>
        <vt:lpwstr>_Toc78299728</vt:lpwstr>
      </vt:variant>
      <vt:variant>
        <vt:i4>1441854</vt:i4>
      </vt:variant>
      <vt:variant>
        <vt:i4>20</vt:i4>
      </vt:variant>
      <vt:variant>
        <vt:i4>0</vt:i4>
      </vt:variant>
      <vt:variant>
        <vt:i4>5</vt:i4>
      </vt:variant>
      <vt:variant>
        <vt:lpwstr/>
      </vt:variant>
      <vt:variant>
        <vt:lpwstr>_Toc78299727</vt:lpwstr>
      </vt:variant>
      <vt:variant>
        <vt:i4>1507390</vt:i4>
      </vt:variant>
      <vt:variant>
        <vt:i4>14</vt:i4>
      </vt:variant>
      <vt:variant>
        <vt:i4>0</vt:i4>
      </vt:variant>
      <vt:variant>
        <vt:i4>5</vt:i4>
      </vt:variant>
      <vt:variant>
        <vt:lpwstr/>
      </vt:variant>
      <vt:variant>
        <vt:lpwstr>_Toc78299726</vt:lpwstr>
      </vt:variant>
      <vt:variant>
        <vt:i4>1310782</vt:i4>
      </vt:variant>
      <vt:variant>
        <vt:i4>8</vt:i4>
      </vt:variant>
      <vt:variant>
        <vt:i4>0</vt:i4>
      </vt:variant>
      <vt:variant>
        <vt:i4>5</vt:i4>
      </vt:variant>
      <vt:variant>
        <vt:lpwstr/>
      </vt:variant>
      <vt:variant>
        <vt:lpwstr>_Toc78299725</vt:lpwstr>
      </vt:variant>
      <vt:variant>
        <vt:i4>1376318</vt:i4>
      </vt:variant>
      <vt:variant>
        <vt:i4>2</vt:i4>
      </vt:variant>
      <vt:variant>
        <vt:i4>0</vt:i4>
      </vt:variant>
      <vt:variant>
        <vt:i4>5</vt:i4>
      </vt:variant>
      <vt:variant>
        <vt:lpwstr/>
      </vt:variant>
      <vt:variant>
        <vt:lpwstr>_Toc78299724</vt:lpwstr>
      </vt:variant>
      <vt:variant>
        <vt:i4>4980738</vt:i4>
      </vt:variant>
      <vt:variant>
        <vt:i4>27</vt:i4>
      </vt:variant>
      <vt:variant>
        <vt:i4>0</vt:i4>
      </vt:variant>
      <vt:variant>
        <vt:i4>5</vt:i4>
      </vt:variant>
      <vt:variant>
        <vt:lpwstr>https://www.officeforstudents.org.uk/advice-and-guidance/partnerships-and-collaboration/financial-sustainability-and-trac/review-of-trac/</vt:lpwstr>
      </vt:variant>
      <vt:variant>
        <vt:lpwstr/>
      </vt:variant>
      <vt:variant>
        <vt:i4>4915273</vt:i4>
      </vt:variant>
      <vt:variant>
        <vt:i4>24</vt:i4>
      </vt:variant>
      <vt:variant>
        <vt:i4>0</vt:i4>
      </vt:variant>
      <vt:variant>
        <vt:i4>5</vt:i4>
      </vt:variant>
      <vt:variant>
        <vt:lpwstr>https://www.trac.ac.uk/tracguidance/</vt:lpwstr>
      </vt:variant>
      <vt:variant>
        <vt:lpwstr/>
      </vt:variant>
      <vt:variant>
        <vt:i4>5832777</vt:i4>
      </vt:variant>
      <vt:variant>
        <vt:i4>21</vt:i4>
      </vt:variant>
      <vt:variant>
        <vt:i4>0</vt:i4>
      </vt:variant>
      <vt:variant>
        <vt:i4>5</vt:i4>
      </vt:variant>
      <vt:variant>
        <vt:lpwstr>https://www.officeforstudents.org.uk/data-and-analysis/trac-data/published-data-2019-20/</vt:lpwstr>
      </vt:variant>
      <vt:variant>
        <vt:lpwstr/>
      </vt:variant>
      <vt:variant>
        <vt:i4>2228348</vt:i4>
      </vt:variant>
      <vt:variant>
        <vt:i4>18</vt:i4>
      </vt:variant>
      <vt:variant>
        <vt:i4>0</vt:i4>
      </vt:variant>
      <vt:variant>
        <vt:i4>5</vt:i4>
      </vt:variant>
      <vt:variant>
        <vt:lpwstr>http://www.trac.ac.uk/tracguidance/</vt:lpwstr>
      </vt:variant>
      <vt:variant>
        <vt:lpwstr/>
      </vt:variant>
      <vt:variant>
        <vt:i4>2228348</vt:i4>
      </vt:variant>
      <vt:variant>
        <vt:i4>15</vt:i4>
      </vt:variant>
      <vt:variant>
        <vt:i4>0</vt:i4>
      </vt:variant>
      <vt:variant>
        <vt:i4>5</vt:i4>
      </vt:variant>
      <vt:variant>
        <vt:lpwstr>http://www.trac.ac.uk/tracguidance/</vt:lpwstr>
      </vt:variant>
      <vt:variant>
        <vt:lpwstr/>
      </vt:variant>
      <vt:variant>
        <vt:i4>5832777</vt:i4>
      </vt:variant>
      <vt:variant>
        <vt:i4>12</vt:i4>
      </vt:variant>
      <vt:variant>
        <vt:i4>0</vt:i4>
      </vt:variant>
      <vt:variant>
        <vt:i4>5</vt:i4>
      </vt:variant>
      <vt:variant>
        <vt:lpwstr>https://www.officeforstudents.org.uk/data-and-analysis/trac-data/published-data-2019-20/</vt:lpwstr>
      </vt:variant>
      <vt:variant>
        <vt:lpwstr/>
      </vt:variant>
      <vt:variant>
        <vt:i4>2621494</vt:i4>
      </vt:variant>
      <vt:variant>
        <vt:i4>9</vt:i4>
      </vt:variant>
      <vt:variant>
        <vt:i4>0</vt:i4>
      </vt:variant>
      <vt:variant>
        <vt:i4>5</vt:i4>
      </vt:variant>
      <vt:variant>
        <vt:lpwstr>https://www.officeforstudents.org.uk/publications/annual-trac-2018-19/</vt:lpwstr>
      </vt:variant>
      <vt:variant>
        <vt:lpwstr/>
      </vt:variant>
      <vt:variant>
        <vt:i4>2555959</vt:i4>
      </vt:variant>
      <vt:variant>
        <vt:i4>6</vt:i4>
      </vt:variant>
      <vt:variant>
        <vt:i4>0</vt:i4>
      </vt:variant>
      <vt:variant>
        <vt:i4>5</vt:i4>
      </vt:variant>
      <vt:variant>
        <vt:lpwstr>https://www.officeforstudents.org.uk/publications/annual-trac-2017-18/</vt:lpwstr>
      </vt:variant>
      <vt:variant>
        <vt:lpwstr/>
      </vt:variant>
      <vt:variant>
        <vt:i4>5570638</vt:i4>
      </vt:variant>
      <vt:variant>
        <vt:i4>3</vt:i4>
      </vt:variant>
      <vt:variant>
        <vt:i4>0</vt:i4>
      </vt:variant>
      <vt:variant>
        <vt:i4>5</vt:i4>
      </vt:variant>
      <vt:variant>
        <vt:lpwstr>https://www.officeforstudents.org.uk/data-and-analysis/trac-data/published-data-2016-17/</vt:lpwstr>
      </vt:variant>
      <vt:variant>
        <vt:lpwstr/>
      </vt:variant>
      <vt:variant>
        <vt:i4>4915273</vt:i4>
      </vt:variant>
      <vt:variant>
        <vt:i4>0</vt:i4>
      </vt:variant>
      <vt:variant>
        <vt:i4>0</vt:i4>
      </vt:variant>
      <vt:variant>
        <vt:i4>5</vt:i4>
      </vt:variant>
      <vt:variant>
        <vt:lpwstr>https://www.trac.ac.uk/tracguidance/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 2019-20 Sector summary and analysis by peer group</dc:title>
  <dc:subject/>
  <dc:creator>Heather Williams [7113]</dc:creator>
  <cp:keywords/>
  <dc:description/>
  <cp:lastModifiedBy>Sara Carroll</cp:lastModifiedBy>
  <cp:revision>19</cp:revision>
  <dcterms:created xsi:type="dcterms:W3CDTF">2021-07-28T02:04:00Z</dcterms:created>
  <dcterms:modified xsi:type="dcterms:W3CDTF">2021-07-28T10:27:00Z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0x010100FD010261F054994E932308ADBDEBD0FC</vt:lpwstr>
  </property>
  <property fmtid="{D5CDD505-2E9C-101B-9397-08002B2CF9AE}" pid="3" name="RecordType">
    <vt:lpwstr/>
  </property>
</Properties>
</file>