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3EBC7" w14:textId="77777777" w:rsidR="003528BB" w:rsidRDefault="003528BB" w:rsidP="003528BB"/>
    <w:p w14:paraId="0418F110" w14:textId="77777777" w:rsidR="003528BB" w:rsidRDefault="003528BB" w:rsidP="003528BB"/>
    <w:p w14:paraId="4BE49607" w14:textId="77777777" w:rsidR="003528BB" w:rsidRDefault="003528BB" w:rsidP="003528BB"/>
    <w:p w14:paraId="1B5C729F" w14:textId="77777777" w:rsidR="003528BB" w:rsidRDefault="003528BB" w:rsidP="003528BB"/>
    <w:p w14:paraId="44A5FCB4" w14:textId="77777777" w:rsidR="003528BB" w:rsidRDefault="003528BB" w:rsidP="003528BB"/>
    <w:p w14:paraId="2EDC4F0C" w14:textId="77777777" w:rsidR="003528BB" w:rsidRDefault="003528BB" w:rsidP="003528BB"/>
    <w:p w14:paraId="54D1480A" w14:textId="77777777" w:rsidR="003528BB" w:rsidRDefault="003528BB" w:rsidP="003528BB"/>
    <w:p w14:paraId="7BC588D0" w14:textId="77777777" w:rsidR="003528BB" w:rsidRDefault="003528BB" w:rsidP="003528BB"/>
    <w:p w14:paraId="641E83F4" w14:textId="77777777" w:rsidR="003528BB" w:rsidRDefault="003528BB" w:rsidP="003528BB"/>
    <w:p w14:paraId="01B9132B" w14:textId="77777777" w:rsidR="003528BB" w:rsidRDefault="003528BB" w:rsidP="003528BB"/>
    <w:p w14:paraId="3420FED6" w14:textId="4E10D0CA" w:rsidR="008B0C6B" w:rsidRDefault="006A263D" w:rsidP="003528BB">
      <w:pPr>
        <w:pStyle w:val="Covertitle"/>
      </w:pPr>
      <w:r>
        <w:t>Annual TRAC 201</w:t>
      </w:r>
      <w:r w:rsidR="00E95D8D">
        <w:t>8</w:t>
      </w:r>
      <w:r>
        <w:t>-1</w:t>
      </w:r>
      <w:r w:rsidR="00E95D8D">
        <w:t>9</w:t>
      </w:r>
    </w:p>
    <w:p w14:paraId="70DD23A5" w14:textId="2C78AA11" w:rsidR="003528BB" w:rsidRDefault="006A263D" w:rsidP="003528BB">
      <w:pPr>
        <w:pStyle w:val="Coversubtitle"/>
      </w:pPr>
      <w:r>
        <w:t xml:space="preserve">Sector </w:t>
      </w:r>
      <w:r w:rsidR="002168D6">
        <w:t xml:space="preserve">summary </w:t>
      </w:r>
      <w:r>
        <w:t xml:space="preserve">and </w:t>
      </w:r>
      <w:r w:rsidR="006E63B8">
        <w:t>analysis by</w:t>
      </w:r>
      <w:r w:rsidR="00255D28">
        <w:t xml:space="preserve"> </w:t>
      </w:r>
      <w:r w:rsidR="00B51D9E">
        <w:br/>
      </w:r>
      <w:r w:rsidR="00255D28">
        <w:t xml:space="preserve">TRAC </w:t>
      </w:r>
      <w:r>
        <w:t>peer group</w:t>
      </w:r>
    </w:p>
    <w:p w14:paraId="6EAD61DB" w14:textId="77777777" w:rsidR="003528BB" w:rsidRPr="003528BB" w:rsidRDefault="003528BB" w:rsidP="004C31D6">
      <w:pPr>
        <w:rPr>
          <w:color w:val="FFFFFF" w:themeColor="background1"/>
        </w:rPr>
      </w:pPr>
    </w:p>
    <w:p w14:paraId="0C900493" w14:textId="77777777" w:rsidR="003528BB" w:rsidRPr="003528BB" w:rsidRDefault="003528BB" w:rsidP="004C31D6">
      <w:pPr>
        <w:rPr>
          <w:color w:val="FFFFFF" w:themeColor="background1"/>
        </w:rPr>
      </w:pPr>
    </w:p>
    <w:p w14:paraId="0C0C322E" w14:textId="77777777" w:rsidR="003528BB" w:rsidRPr="003528BB" w:rsidRDefault="003528BB" w:rsidP="004C31D6">
      <w:pPr>
        <w:rPr>
          <w:color w:val="FFFFFF" w:themeColor="background1"/>
        </w:rPr>
      </w:pPr>
    </w:p>
    <w:p w14:paraId="4AEDB9B8" w14:textId="77777777" w:rsidR="003528BB" w:rsidRPr="003528BB" w:rsidRDefault="003528BB" w:rsidP="004C31D6">
      <w:pPr>
        <w:rPr>
          <w:color w:val="FFFFFF" w:themeColor="background1"/>
        </w:rPr>
      </w:pPr>
    </w:p>
    <w:p w14:paraId="1CFAABBA" w14:textId="77777777" w:rsidR="003528BB" w:rsidRPr="003528BB" w:rsidRDefault="003528BB" w:rsidP="004C31D6">
      <w:pPr>
        <w:rPr>
          <w:color w:val="FFFFFF" w:themeColor="background1"/>
        </w:rPr>
      </w:pPr>
    </w:p>
    <w:p w14:paraId="579AB6EA" w14:textId="77777777" w:rsidR="008A26E6" w:rsidRDefault="008A26E6" w:rsidP="004C31D6">
      <w:pPr>
        <w:rPr>
          <w:color w:val="FFFFFF" w:themeColor="background1"/>
        </w:rPr>
      </w:pPr>
    </w:p>
    <w:p w14:paraId="65681FA0" w14:textId="77777777" w:rsidR="008A26E6" w:rsidRDefault="008A26E6" w:rsidP="004C31D6">
      <w:pPr>
        <w:rPr>
          <w:color w:val="FFFFFF" w:themeColor="background1"/>
        </w:rPr>
      </w:pPr>
    </w:p>
    <w:p w14:paraId="66921730" w14:textId="77777777" w:rsidR="008A26E6" w:rsidRDefault="008A26E6" w:rsidP="004C31D6">
      <w:pPr>
        <w:rPr>
          <w:color w:val="FFFFFF" w:themeColor="background1"/>
        </w:rPr>
      </w:pPr>
    </w:p>
    <w:p w14:paraId="0D907305" w14:textId="77777777" w:rsidR="008A26E6" w:rsidRDefault="008A26E6" w:rsidP="004C31D6">
      <w:pPr>
        <w:rPr>
          <w:color w:val="FFFFFF" w:themeColor="background1"/>
        </w:rPr>
      </w:pPr>
    </w:p>
    <w:p w14:paraId="79992D7A" w14:textId="77777777" w:rsidR="008A26E6" w:rsidRDefault="008A26E6" w:rsidP="004C31D6">
      <w:pPr>
        <w:rPr>
          <w:color w:val="FFFFFF" w:themeColor="background1"/>
        </w:rPr>
      </w:pPr>
    </w:p>
    <w:p w14:paraId="04729709" w14:textId="77777777" w:rsidR="008A26E6" w:rsidRDefault="008A26E6" w:rsidP="004C31D6">
      <w:pPr>
        <w:rPr>
          <w:color w:val="FFFFFF" w:themeColor="background1"/>
        </w:rPr>
      </w:pPr>
    </w:p>
    <w:p w14:paraId="3B18F588" w14:textId="77777777" w:rsidR="001C77CB" w:rsidRDefault="001C77CB" w:rsidP="004C31D6">
      <w:pPr>
        <w:rPr>
          <w:color w:val="FFFFFF" w:themeColor="background1"/>
        </w:rPr>
      </w:pPr>
    </w:p>
    <w:p w14:paraId="47904443" w14:textId="77777777" w:rsidR="001C77CB" w:rsidRDefault="001C77CB" w:rsidP="004C31D6">
      <w:pPr>
        <w:rPr>
          <w:color w:val="FFFFFF" w:themeColor="background1"/>
        </w:rPr>
      </w:pPr>
    </w:p>
    <w:p w14:paraId="0497A0BA" w14:textId="77777777" w:rsidR="008A26E6" w:rsidRPr="003528BB" w:rsidRDefault="008A26E6" w:rsidP="004C31D6">
      <w:pPr>
        <w:rPr>
          <w:color w:val="FFFFFF" w:themeColor="background1"/>
        </w:rPr>
      </w:pPr>
    </w:p>
    <w:p w14:paraId="47FD9FA4" w14:textId="77777777" w:rsidR="003528BB" w:rsidRPr="003528BB" w:rsidRDefault="003528BB" w:rsidP="004C31D6">
      <w:pPr>
        <w:rPr>
          <w:color w:val="FFFFFF" w:themeColor="background1"/>
        </w:rPr>
      </w:pPr>
    </w:p>
    <w:p w14:paraId="69ECDB9D" w14:textId="2F1BB0E7" w:rsidR="003528BB" w:rsidRPr="003528BB" w:rsidRDefault="003528BB" w:rsidP="00531B3A">
      <w:pPr>
        <w:pStyle w:val="Coverreference"/>
      </w:pPr>
      <w:r w:rsidRPr="008A26E6">
        <w:rPr>
          <w:b/>
        </w:rPr>
        <w:t>Reference</w:t>
      </w:r>
      <w:r w:rsidR="00752E6B">
        <w:t xml:space="preserve"> O</w:t>
      </w:r>
      <w:r w:rsidR="00DB67F8">
        <w:t xml:space="preserve">fS </w:t>
      </w:r>
      <w:r w:rsidR="00B51D9E">
        <w:t>2020.31</w:t>
      </w:r>
    </w:p>
    <w:p w14:paraId="3EB1F652" w14:textId="08A9A0AD" w:rsidR="008A26E6" w:rsidRPr="00537A9B" w:rsidRDefault="008A26E6" w:rsidP="008A26E6">
      <w:pPr>
        <w:pStyle w:val="Coverpurposeaction"/>
      </w:pPr>
      <w:r w:rsidRPr="003528BB">
        <w:t xml:space="preserve">Enquiries to </w:t>
      </w:r>
      <w:r w:rsidR="00246C80" w:rsidRPr="00537A9B">
        <w:rPr>
          <w:b w:val="0"/>
        </w:rPr>
        <w:t>trac@officeforstudents.org.uk</w:t>
      </w:r>
    </w:p>
    <w:p w14:paraId="5169D658" w14:textId="545E4A3C" w:rsidR="001E2B7E" w:rsidRDefault="003528BB" w:rsidP="00537A9B">
      <w:pPr>
        <w:pStyle w:val="Covertoetc"/>
        <w:sectPr w:rsidR="001E2B7E" w:rsidSect="00631578">
          <w:headerReference w:type="default" r:id="rId12"/>
          <w:footerReference w:type="default" r:id="rId13"/>
          <w:headerReference w:type="first" r:id="rId14"/>
          <w:footerReference w:type="first" r:id="rId15"/>
          <w:pgSz w:w="11906" w:h="16838" w:code="9"/>
          <w:pgMar w:top="1134" w:right="1134" w:bottom="1134" w:left="1134" w:header="454" w:footer="454" w:gutter="0"/>
          <w:pgNumType w:start="0"/>
          <w:cols w:space="708"/>
          <w:titlePg/>
          <w:docGrid w:linePitch="360"/>
        </w:sectPr>
      </w:pPr>
      <w:r w:rsidRPr="00537A9B">
        <w:t xml:space="preserve">Publication date </w:t>
      </w:r>
      <w:r w:rsidR="006034E9" w:rsidRPr="006034E9">
        <w:rPr>
          <w:b w:val="0"/>
          <w:bCs/>
        </w:rPr>
        <w:t>19 June 2020</w:t>
      </w:r>
    </w:p>
    <w:sdt>
      <w:sdtPr>
        <w:rPr>
          <w:rFonts w:asciiTheme="minorHAnsi" w:eastAsiaTheme="minorHAnsi" w:hAnsiTheme="minorHAnsi" w:cstheme="minorBidi"/>
          <w:b w:val="0"/>
          <w:color w:val="auto"/>
          <w:sz w:val="22"/>
          <w:szCs w:val="22"/>
          <w:shd w:val="clear" w:color="auto" w:fill="E6E6E6"/>
          <w:lang w:val="en-GB"/>
        </w:rPr>
        <w:id w:val="-1694842792"/>
        <w:docPartObj>
          <w:docPartGallery w:val="Table of Contents"/>
          <w:docPartUnique/>
        </w:docPartObj>
      </w:sdtPr>
      <w:sdtEndPr/>
      <w:sdtContent>
        <w:p w14:paraId="0B33E3D7" w14:textId="18E41D48" w:rsidR="00D35952" w:rsidRDefault="00D35952">
          <w:pPr>
            <w:pStyle w:val="TOCHeading"/>
          </w:pPr>
          <w:r>
            <w:t>Contents</w:t>
          </w:r>
        </w:p>
        <w:p w14:paraId="74D028F8" w14:textId="6E5306D6" w:rsidR="00A925D2" w:rsidRDefault="00D35952">
          <w:pPr>
            <w:pStyle w:val="TOC1"/>
            <w:rPr>
              <w:rFonts w:eastAsiaTheme="minorEastAsia"/>
              <w:b w:val="0"/>
              <w:lang w:eastAsia="en-GB"/>
            </w:rPr>
          </w:pPr>
          <w:r>
            <w:rPr>
              <w:color w:val="2B579A"/>
              <w:shd w:val="clear" w:color="auto" w:fill="E6E6E6"/>
            </w:rPr>
            <w:fldChar w:fldCharType="begin"/>
          </w:r>
          <w:r>
            <w:rPr>
              <w:bCs/>
            </w:rPr>
            <w:instrText xml:space="preserve"> TOC \o "1-3" \h \z \u </w:instrText>
          </w:r>
          <w:r>
            <w:rPr>
              <w:color w:val="2B579A"/>
              <w:shd w:val="clear" w:color="auto" w:fill="E6E6E6"/>
            </w:rPr>
            <w:fldChar w:fldCharType="separate"/>
          </w:r>
          <w:hyperlink w:anchor="_Toc42783346" w:history="1">
            <w:r w:rsidR="00A925D2" w:rsidRPr="0064449F">
              <w:rPr>
                <w:rStyle w:val="Hyperlink"/>
              </w:rPr>
              <w:t>Background</w:t>
            </w:r>
            <w:r w:rsidR="00A925D2">
              <w:rPr>
                <w:webHidden/>
              </w:rPr>
              <w:tab/>
            </w:r>
            <w:r w:rsidR="00A925D2">
              <w:rPr>
                <w:webHidden/>
              </w:rPr>
              <w:fldChar w:fldCharType="begin"/>
            </w:r>
            <w:r w:rsidR="00A925D2">
              <w:rPr>
                <w:webHidden/>
              </w:rPr>
              <w:instrText xml:space="preserve"> PAGEREF _Toc42783346 \h </w:instrText>
            </w:r>
            <w:r w:rsidR="00A925D2">
              <w:rPr>
                <w:webHidden/>
              </w:rPr>
            </w:r>
            <w:r w:rsidR="00A925D2">
              <w:rPr>
                <w:webHidden/>
              </w:rPr>
              <w:fldChar w:fldCharType="separate"/>
            </w:r>
            <w:r w:rsidR="006F19CC">
              <w:rPr>
                <w:webHidden/>
              </w:rPr>
              <w:t>2</w:t>
            </w:r>
            <w:r w:rsidR="00A925D2">
              <w:rPr>
                <w:webHidden/>
              </w:rPr>
              <w:fldChar w:fldCharType="end"/>
            </w:r>
          </w:hyperlink>
        </w:p>
        <w:p w14:paraId="70C0BA3C" w14:textId="10F4A5E9" w:rsidR="00A925D2" w:rsidRDefault="00483176">
          <w:pPr>
            <w:pStyle w:val="TOC3"/>
            <w:tabs>
              <w:tab w:val="right" w:pos="9628"/>
            </w:tabs>
            <w:rPr>
              <w:rFonts w:eastAsiaTheme="minorEastAsia"/>
              <w:noProof/>
              <w:lang w:eastAsia="en-GB"/>
            </w:rPr>
          </w:pPr>
          <w:hyperlink w:anchor="_Toc42783347" w:history="1">
            <w:r w:rsidR="00A925D2" w:rsidRPr="0064449F">
              <w:rPr>
                <w:rStyle w:val="Hyperlink"/>
                <w:noProof/>
              </w:rPr>
              <w:t>Contact</w:t>
            </w:r>
            <w:r w:rsidR="00A925D2">
              <w:rPr>
                <w:noProof/>
                <w:webHidden/>
              </w:rPr>
              <w:tab/>
            </w:r>
            <w:r w:rsidR="00A925D2">
              <w:rPr>
                <w:noProof/>
                <w:webHidden/>
              </w:rPr>
              <w:fldChar w:fldCharType="begin"/>
            </w:r>
            <w:r w:rsidR="00A925D2">
              <w:rPr>
                <w:noProof/>
                <w:webHidden/>
              </w:rPr>
              <w:instrText xml:space="preserve"> PAGEREF _Toc42783347 \h </w:instrText>
            </w:r>
            <w:r w:rsidR="00A925D2">
              <w:rPr>
                <w:noProof/>
                <w:webHidden/>
              </w:rPr>
            </w:r>
            <w:r w:rsidR="00A925D2">
              <w:rPr>
                <w:noProof/>
                <w:webHidden/>
              </w:rPr>
              <w:fldChar w:fldCharType="separate"/>
            </w:r>
            <w:r w:rsidR="006F19CC">
              <w:rPr>
                <w:noProof/>
                <w:webHidden/>
              </w:rPr>
              <w:t>2</w:t>
            </w:r>
            <w:r w:rsidR="00A925D2">
              <w:rPr>
                <w:noProof/>
                <w:webHidden/>
              </w:rPr>
              <w:fldChar w:fldCharType="end"/>
            </w:r>
          </w:hyperlink>
        </w:p>
        <w:p w14:paraId="2CB591A6" w14:textId="50DD40DB" w:rsidR="00A925D2" w:rsidRDefault="00483176">
          <w:pPr>
            <w:pStyle w:val="TOC1"/>
            <w:rPr>
              <w:rFonts w:eastAsiaTheme="minorEastAsia"/>
              <w:b w:val="0"/>
              <w:lang w:eastAsia="en-GB"/>
            </w:rPr>
          </w:pPr>
          <w:hyperlink w:anchor="_Toc42783348" w:history="1">
            <w:r w:rsidR="00A925D2" w:rsidRPr="0064449F">
              <w:rPr>
                <w:rStyle w:val="Hyperlink"/>
              </w:rPr>
              <w:t>Key points</w:t>
            </w:r>
            <w:r w:rsidR="00A925D2">
              <w:rPr>
                <w:webHidden/>
              </w:rPr>
              <w:tab/>
            </w:r>
            <w:r w:rsidR="00A925D2">
              <w:rPr>
                <w:webHidden/>
              </w:rPr>
              <w:fldChar w:fldCharType="begin"/>
            </w:r>
            <w:r w:rsidR="00A925D2">
              <w:rPr>
                <w:webHidden/>
              </w:rPr>
              <w:instrText xml:space="preserve"> PAGEREF _Toc42783348 \h </w:instrText>
            </w:r>
            <w:r w:rsidR="00A925D2">
              <w:rPr>
                <w:webHidden/>
              </w:rPr>
            </w:r>
            <w:r w:rsidR="00A925D2">
              <w:rPr>
                <w:webHidden/>
              </w:rPr>
              <w:fldChar w:fldCharType="separate"/>
            </w:r>
            <w:r w:rsidR="006F19CC">
              <w:rPr>
                <w:webHidden/>
              </w:rPr>
              <w:t>3</w:t>
            </w:r>
            <w:r w:rsidR="00A925D2">
              <w:rPr>
                <w:webHidden/>
              </w:rPr>
              <w:fldChar w:fldCharType="end"/>
            </w:r>
          </w:hyperlink>
        </w:p>
        <w:p w14:paraId="4CA15EE7" w14:textId="1953183F" w:rsidR="00A925D2" w:rsidRDefault="00483176">
          <w:pPr>
            <w:pStyle w:val="TOC3"/>
            <w:tabs>
              <w:tab w:val="right" w:pos="9628"/>
            </w:tabs>
            <w:rPr>
              <w:rFonts w:eastAsiaTheme="minorEastAsia"/>
              <w:noProof/>
              <w:lang w:eastAsia="en-GB"/>
            </w:rPr>
          </w:pPr>
          <w:hyperlink w:anchor="_Toc42783349" w:history="1">
            <w:r w:rsidR="00A925D2" w:rsidRPr="0064449F">
              <w:rPr>
                <w:rStyle w:val="Hyperlink"/>
                <w:noProof/>
              </w:rPr>
              <w:t>Definitions for Table 1 and Figure 1</w:t>
            </w:r>
            <w:r w:rsidR="00A925D2">
              <w:rPr>
                <w:noProof/>
                <w:webHidden/>
              </w:rPr>
              <w:tab/>
            </w:r>
            <w:r w:rsidR="00A925D2">
              <w:rPr>
                <w:noProof/>
                <w:webHidden/>
              </w:rPr>
              <w:fldChar w:fldCharType="begin"/>
            </w:r>
            <w:r w:rsidR="00A925D2">
              <w:rPr>
                <w:noProof/>
                <w:webHidden/>
              </w:rPr>
              <w:instrText xml:space="preserve"> PAGEREF _Toc42783349 \h </w:instrText>
            </w:r>
            <w:r w:rsidR="00A925D2">
              <w:rPr>
                <w:noProof/>
                <w:webHidden/>
              </w:rPr>
            </w:r>
            <w:r w:rsidR="00A925D2">
              <w:rPr>
                <w:noProof/>
                <w:webHidden/>
              </w:rPr>
              <w:fldChar w:fldCharType="separate"/>
            </w:r>
            <w:r w:rsidR="006F19CC">
              <w:rPr>
                <w:noProof/>
                <w:webHidden/>
              </w:rPr>
              <w:t>4</w:t>
            </w:r>
            <w:r w:rsidR="00A925D2">
              <w:rPr>
                <w:noProof/>
                <w:webHidden/>
              </w:rPr>
              <w:fldChar w:fldCharType="end"/>
            </w:r>
          </w:hyperlink>
        </w:p>
        <w:p w14:paraId="65C29656" w14:textId="513734FC" w:rsidR="00A925D2" w:rsidRDefault="00483176">
          <w:pPr>
            <w:pStyle w:val="TOC3"/>
            <w:tabs>
              <w:tab w:val="right" w:pos="9628"/>
            </w:tabs>
            <w:rPr>
              <w:rFonts w:eastAsiaTheme="minorEastAsia"/>
              <w:noProof/>
              <w:lang w:eastAsia="en-GB"/>
            </w:rPr>
          </w:pPr>
          <w:hyperlink w:anchor="_Toc42783350" w:history="1">
            <w:r w:rsidR="00A925D2" w:rsidRPr="0064449F">
              <w:rPr>
                <w:rStyle w:val="Hyperlink"/>
                <w:noProof/>
              </w:rPr>
              <w:t>Table 1: TRAC income and full economic costs by activity, 2018-19 (higher education institutions in England and Northern Ireland) (figures in £M)</w:t>
            </w:r>
            <w:r w:rsidR="00A925D2">
              <w:rPr>
                <w:noProof/>
                <w:webHidden/>
              </w:rPr>
              <w:tab/>
            </w:r>
            <w:r w:rsidR="00A925D2">
              <w:rPr>
                <w:noProof/>
                <w:webHidden/>
              </w:rPr>
              <w:fldChar w:fldCharType="begin"/>
            </w:r>
            <w:r w:rsidR="00A925D2">
              <w:rPr>
                <w:noProof/>
                <w:webHidden/>
              </w:rPr>
              <w:instrText xml:space="preserve"> PAGEREF _Toc42783350 \h </w:instrText>
            </w:r>
            <w:r w:rsidR="00A925D2">
              <w:rPr>
                <w:noProof/>
                <w:webHidden/>
              </w:rPr>
            </w:r>
            <w:r w:rsidR="00A925D2">
              <w:rPr>
                <w:noProof/>
                <w:webHidden/>
              </w:rPr>
              <w:fldChar w:fldCharType="separate"/>
            </w:r>
            <w:r w:rsidR="006F19CC">
              <w:rPr>
                <w:noProof/>
                <w:webHidden/>
              </w:rPr>
              <w:t>5</w:t>
            </w:r>
            <w:r w:rsidR="00A925D2">
              <w:rPr>
                <w:noProof/>
                <w:webHidden/>
              </w:rPr>
              <w:fldChar w:fldCharType="end"/>
            </w:r>
          </w:hyperlink>
        </w:p>
        <w:p w14:paraId="750E59F3" w14:textId="3630A7F4" w:rsidR="00A925D2" w:rsidRDefault="00483176">
          <w:pPr>
            <w:pStyle w:val="TOC3"/>
            <w:tabs>
              <w:tab w:val="right" w:pos="9628"/>
            </w:tabs>
            <w:rPr>
              <w:rFonts w:eastAsiaTheme="minorEastAsia"/>
              <w:noProof/>
              <w:lang w:eastAsia="en-GB"/>
            </w:rPr>
          </w:pPr>
          <w:hyperlink w:anchor="_Toc42783351" w:history="1">
            <w:r w:rsidR="00A925D2" w:rsidRPr="0064449F">
              <w:rPr>
                <w:rStyle w:val="Hyperlink"/>
                <w:noProof/>
              </w:rPr>
              <w:t>Table 2: Research income and costs by sponsor type, 2018-19 (higher education institutions in England and Northern Ireland) (figures in £M)</w:t>
            </w:r>
            <w:r w:rsidR="00A925D2">
              <w:rPr>
                <w:noProof/>
                <w:webHidden/>
              </w:rPr>
              <w:tab/>
            </w:r>
            <w:r w:rsidR="00A925D2">
              <w:rPr>
                <w:noProof/>
                <w:webHidden/>
              </w:rPr>
              <w:fldChar w:fldCharType="begin"/>
            </w:r>
            <w:r w:rsidR="00A925D2">
              <w:rPr>
                <w:noProof/>
                <w:webHidden/>
              </w:rPr>
              <w:instrText xml:space="preserve"> PAGEREF _Toc42783351 \h </w:instrText>
            </w:r>
            <w:r w:rsidR="00A925D2">
              <w:rPr>
                <w:noProof/>
                <w:webHidden/>
              </w:rPr>
            </w:r>
            <w:r w:rsidR="00A925D2">
              <w:rPr>
                <w:noProof/>
                <w:webHidden/>
              </w:rPr>
              <w:fldChar w:fldCharType="separate"/>
            </w:r>
            <w:r w:rsidR="006F19CC">
              <w:rPr>
                <w:noProof/>
                <w:webHidden/>
              </w:rPr>
              <w:t>8</w:t>
            </w:r>
            <w:r w:rsidR="00A925D2">
              <w:rPr>
                <w:noProof/>
                <w:webHidden/>
              </w:rPr>
              <w:fldChar w:fldCharType="end"/>
            </w:r>
          </w:hyperlink>
        </w:p>
        <w:p w14:paraId="429DB105" w14:textId="05417720" w:rsidR="00A925D2" w:rsidRDefault="00483176">
          <w:pPr>
            <w:pStyle w:val="TOC1"/>
            <w:rPr>
              <w:rFonts w:eastAsiaTheme="minorEastAsia"/>
              <w:b w:val="0"/>
              <w:lang w:eastAsia="en-GB"/>
            </w:rPr>
          </w:pPr>
          <w:hyperlink w:anchor="_Toc42783352" w:history="1">
            <w:r w:rsidR="00A925D2" w:rsidRPr="0064449F">
              <w:rPr>
                <w:rStyle w:val="Hyperlink"/>
              </w:rPr>
              <w:t>Annex A: Derivations</w:t>
            </w:r>
            <w:r w:rsidR="00A925D2">
              <w:rPr>
                <w:webHidden/>
              </w:rPr>
              <w:tab/>
            </w:r>
            <w:r w:rsidR="00A925D2">
              <w:rPr>
                <w:webHidden/>
              </w:rPr>
              <w:fldChar w:fldCharType="begin"/>
            </w:r>
            <w:r w:rsidR="00A925D2">
              <w:rPr>
                <w:webHidden/>
              </w:rPr>
              <w:instrText xml:space="preserve"> PAGEREF _Toc42783352 \h </w:instrText>
            </w:r>
            <w:r w:rsidR="00A925D2">
              <w:rPr>
                <w:webHidden/>
              </w:rPr>
            </w:r>
            <w:r w:rsidR="00A925D2">
              <w:rPr>
                <w:webHidden/>
              </w:rPr>
              <w:fldChar w:fldCharType="separate"/>
            </w:r>
            <w:r w:rsidR="006F19CC">
              <w:rPr>
                <w:webHidden/>
              </w:rPr>
              <w:t>10</w:t>
            </w:r>
            <w:r w:rsidR="00A925D2">
              <w:rPr>
                <w:webHidden/>
              </w:rPr>
              <w:fldChar w:fldCharType="end"/>
            </w:r>
          </w:hyperlink>
        </w:p>
        <w:p w14:paraId="369CDC77" w14:textId="5D8AF498" w:rsidR="00A925D2" w:rsidRDefault="00483176">
          <w:pPr>
            <w:pStyle w:val="TOC3"/>
            <w:tabs>
              <w:tab w:val="right" w:pos="9628"/>
            </w:tabs>
            <w:rPr>
              <w:rFonts w:eastAsiaTheme="minorEastAsia"/>
              <w:noProof/>
              <w:lang w:eastAsia="en-GB"/>
            </w:rPr>
          </w:pPr>
          <w:hyperlink w:anchor="_Toc42783353" w:history="1">
            <w:r w:rsidR="00A925D2" w:rsidRPr="0064449F">
              <w:rPr>
                <w:rStyle w:val="Hyperlink"/>
                <w:noProof/>
              </w:rPr>
              <w:t>Table 3: Derivation of Transparent Approach to Costing (TRAC) full economic costs and TRAC surplus/(deficit) for higher education institutions in England and Northern Ireland</w:t>
            </w:r>
            <w:r w:rsidR="00A925D2">
              <w:rPr>
                <w:noProof/>
                <w:webHidden/>
              </w:rPr>
              <w:tab/>
            </w:r>
            <w:r w:rsidR="00A925D2">
              <w:rPr>
                <w:noProof/>
                <w:webHidden/>
              </w:rPr>
              <w:fldChar w:fldCharType="begin"/>
            </w:r>
            <w:r w:rsidR="00A925D2">
              <w:rPr>
                <w:noProof/>
                <w:webHidden/>
              </w:rPr>
              <w:instrText xml:space="preserve"> PAGEREF _Toc42783353 \h </w:instrText>
            </w:r>
            <w:r w:rsidR="00A925D2">
              <w:rPr>
                <w:noProof/>
                <w:webHidden/>
              </w:rPr>
            </w:r>
            <w:r w:rsidR="00A925D2">
              <w:rPr>
                <w:noProof/>
                <w:webHidden/>
              </w:rPr>
              <w:fldChar w:fldCharType="separate"/>
            </w:r>
            <w:r w:rsidR="006F19CC">
              <w:rPr>
                <w:noProof/>
                <w:webHidden/>
              </w:rPr>
              <w:t>10</w:t>
            </w:r>
            <w:r w:rsidR="00A925D2">
              <w:rPr>
                <w:noProof/>
                <w:webHidden/>
              </w:rPr>
              <w:fldChar w:fldCharType="end"/>
            </w:r>
          </w:hyperlink>
        </w:p>
        <w:p w14:paraId="3AC29E4B" w14:textId="32B9C02D" w:rsidR="00A925D2" w:rsidRDefault="00483176">
          <w:pPr>
            <w:pStyle w:val="TOC1"/>
            <w:rPr>
              <w:rFonts w:eastAsiaTheme="minorEastAsia"/>
              <w:b w:val="0"/>
              <w:lang w:eastAsia="en-GB"/>
            </w:rPr>
          </w:pPr>
          <w:hyperlink w:anchor="_Toc42783354" w:history="1">
            <w:r w:rsidR="00A925D2" w:rsidRPr="0064449F">
              <w:rPr>
                <w:rStyle w:val="Hyperlink"/>
              </w:rPr>
              <w:t>Annex B: UK sector data summary</w:t>
            </w:r>
            <w:r w:rsidR="00A925D2">
              <w:rPr>
                <w:webHidden/>
              </w:rPr>
              <w:tab/>
            </w:r>
            <w:r w:rsidR="00A925D2">
              <w:rPr>
                <w:webHidden/>
              </w:rPr>
              <w:fldChar w:fldCharType="begin"/>
            </w:r>
            <w:r w:rsidR="00A925D2">
              <w:rPr>
                <w:webHidden/>
              </w:rPr>
              <w:instrText xml:space="preserve"> PAGEREF _Toc42783354 \h </w:instrText>
            </w:r>
            <w:r w:rsidR="00A925D2">
              <w:rPr>
                <w:webHidden/>
              </w:rPr>
            </w:r>
            <w:r w:rsidR="00A925D2">
              <w:rPr>
                <w:webHidden/>
              </w:rPr>
              <w:fldChar w:fldCharType="separate"/>
            </w:r>
            <w:r w:rsidR="006F19CC">
              <w:rPr>
                <w:webHidden/>
              </w:rPr>
              <w:t>11</w:t>
            </w:r>
            <w:r w:rsidR="00A925D2">
              <w:rPr>
                <w:webHidden/>
              </w:rPr>
              <w:fldChar w:fldCharType="end"/>
            </w:r>
          </w:hyperlink>
        </w:p>
        <w:p w14:paraId="573F6DA6" w14:textId="07251315" w:rsidR="00A925D2" w:rsidRDefault="00483176">
          <w:pPr>
            <w:pStyle w:val="TOC3"/>
            <w:tabs>
              <w:tab w:val="right" w:pos="9628"/>
            </w:tabs>
            <w:rPr>
              <w:rFonts w:eastAsiaTheme="minorEastAsia"/>
              <w:noProof/>
              <w:lang w:eastAsia="en-GB"/>
            </w:rPr>
          </w:pPr>
          <w:hyperlink w:anchor="_Toc42783355" w:history="1">
            <w:r w:rsidR="00A925D2" w:rsidRPr="0064449F">
              <w:rPr>
                <w:rStyle w:val="Hyperlink"/>
                <w:noProof/>
              </w:rPr>
              <w:t>Table 4: Transparent Approach to Costing (TRAC) income and full economic costs by activity, 2018-19 (UK higher education institutions) (figures in £M)</w:t>
            </w:r>
            <w:r w:rsidR="00A925D2">
              <w:rPr>
                <w:noProof/>
                <w:webHidden/>
              </w:rPr>
              <w:tab/>
            </w:r>
            <w:r w:rsidR="00A925D2">
              <w:rPr>
                <w:noProof/>
                <w:webHidden/>
              </w:rPr>
              <w:fldChar w:fldCharType="begin"/>
            </w:r>
            <w:r w:rsidR="00A925D2">
              <w:rPr>
                <w:noProof/>
                <w:webHidden/>
              </w:rPr>
              <w:instrText xml:space="preserve"> PAGEREF _Toc42783355 \h </w:instrText>
            </w:r>
            <w:r w:rsidR="00A925D2">
              <w:rPr>
                <w:noProof/>
                <w:webHidden/>
              </w:rPr>
            </w:r>
            <w:r w:rsidR="00A925D2">
              <w:rPr>
                <w:noProof/>
                <w:webHidden/>
              </w:rPr>
              <w:fldChar w:fldCharType="separate"/>
            </w:r>
            <w:r w:rsidR="006F19CC">
              <w:rPr>
                <w:noProof/>
                <w:webHidden/>
              </w:rPr>
              <w:t>11</w:t>
            </w:r>
            <w:r w:rsidR="00A925D2">
              <w:rPr>
                <w:noProof/>
                <w:webHidden/>
              </w:rPr>
              <w:fldChar w:fldCharType="end"/>
            </w:r>
          </w:hyperlink>
        </w:p>
        <w:p w14:paraId="375E614E" w14:textId="1D9B8EB1" w:rsidR="00A925D2" w:rsidRDefault="00483176">
          <w:pPr>
            <w:pStyle w:val="TOC3"/>
            <w:tabs>
              <w:tab w:val="right" w:pos="9628"/>
            </w:tabs>
            <w:rPr>
              <w:rFonts w:eastAsiaTheme="minorEastAsia"/>
              <w:noProof/>
              <w:lang w:eastAsia="en-GB"/>
            </w:rPr>
          </w:pPr>
          <w:hyperlink w:anchor="_Toc42783356" w:history="1">
            <w:r w:rsidR="00A925D2" w:rsidRPr="0064449F">
              <w:rPr>
                <w:rStyle w:val="Hyperlink"/>
                <w:noProof/>
              </w:rPr>
              <w:t>Figure 2: TRAC full economic cost surplus/deficit by activity, 2018-19 (UK higher education institutions)</w:t>
            </w:r>
            <w:r w:rsidR="00A925D2">
              <w:rPr>
                <w:noProof/>
                <w:webHidden/>
              </w:rPr>
              <w:tab/>
            </w:r>
            <w:r w:rsidR="00A925D2">
              <w:rPr>
                <w:noProof/>
                <w:webHidden/>
              </w:rPr>
              <w:fldChar w:fldCharType="begin"/>
            </w:r>
            <w:r w:rsidR="00A925D2">
              <w:rPr>
                <w:noProof/>
                <w:webHidden/>
              </w:rPr>
              <w:instrText xml:space="preserve"> PAGEREF _Toc42783356 \h </w:instrText>
            </w:r>
            <w:r w:rsidR="00A925D2">
              <w:rPr>
                <w:noProof/>
                <w:webHidden/>
              </w:rPr>
            </w:r>
            <w:r w:rsidR="00A925D2">
              <w:rPr>
                <w:noProof/>
                <w:webHidden/>
              </w:rPr>
              <w:fldChar w:fldCharType="separate"/>
            </w:r>
            <w:r w:rsidR="006F19CC">
              <w:rPr>
                <w:noProof/>
                <w:webHidden/>
              </w:rPr>
              <w:t>12</w:t>
            </w:r>
            <w:r w:rsidR="00A925D2">
              <w:rPr>
                <w:noProof/>
                <w:webHidden/>
              </w:rPr>
              <w:fldChar w:fldCharType="end"/>
            </w:r>
          </w:hyperlink>
        </w:p>
        <w:p w14:paraId="3AC7CBAC" w14:textId="3BF4EA4A" w:rsidR="00A925D2" w:rsidRDefault="00483176">
          <w:pPr>
            <w:pStyle w:val="TOC3"/>
            <w:tabs>
              <w:tab w:val="right" w:pos="9628"/>
            </w:tabs>
            <w:rPr>
              <w:rFonts w:eastAsiaTheme="minorEastAsia"/>
              <w:noProof/>
              <w:lang w:eastAsia="en-GB"/>
            </w:rPr>
          </w:pPr>
          <w:hyperlink w:anchor="_Toc42783357" w:history="1">
            <w:r w:rsidR="00A925D2" w:rsidRPr="0064449F">
              <w:rPr>
                <w:rStyle w:val="Hyperlink"/>
                <w:noProof/>
              </w:rPr>
              <w:t>Definitions for Table 4 and Figure 2</w:t>
            </w:r>
            <w:r w:rsidR="00A925D2">
              <w:rPr>
                <w:noProof/>
                <w:webHidden/>
              </w:rPr>
              <w:tab/>
            </w:r>
            <w:r w:rsidR="00A925D2">
              <w:rPr>
                <w:noProof/>
                <w:webHidden/>
              </w:rPr>
              <w:fldChar w:fldCharType="begin"/>
            </w:r>
            <w:r w:rsidR="00A925D2">
              <w:rPr>
                <w:noProof/>
                <w:webHidden/>
              </w:rPr>
              <w:instrText xml:space="preserve"> PAGEREF _Toc42783357 \h </w:instrText>
            </w:r>
            <w:r w:rsidR="00A925D2">
              <w:rPr>
                <w:noProof/>
                <w:webHidden/>
              </w:rPr>
            </w:r>
            <w:r w:rsidR="00A925D2">
              <w:rPr>
                <w:noProof/>
                <w:webHidden/>
              </w:rPr>
              <w:fldChar w:fldCharType="separate"/>
            </w:r>
            <w:r w:rsidR="006F19CC">
              <w:rPr>
                <w:noProof/>
                <w:webHidden/>
              </w:rPr>
              <w:t>13</w:t>
            </w:r>
            <w:r w:rsidR="00A925D2">
              <w:rPr>
                <w:noProof/>
                <w:webHidden/>
              </w:rPr>
              <w:fldChar w:fldCharType="end"/>
            </w:r>
          </w:hyperlink>
        </w:p>
        <w:p w14:paraId="1DDD5343" w14:textId="627B2AB9" w:rsidR="00A925D2" w:rsidRDefault="00483176">
          <w:pPr>
            <w:pStyle w:val="TOC3"/>
            <w:tabs>
              <w:tab w:val="right" w:pos="9628"/>
            </w:tabs>
            <w:rPr>
              <w:rFonts w:eastAsiaTheme="minorEastAsia"/>
              <w:noProof/>
              <w:lang w:eastAsia="en-GB"/>
            </w:rPr>
          </w:pPr>
          <w:hyperlink w:anchor="_Toc42783358" w:history="1">
            <w:r w:rsidR="00A925D2" w:rsidRPr="0064449F">
              <w:rPr>
                <w:rStyle w:val="Hyperlink"/>
                <w:noProof/>
              </w:rPr>
              <w:t>Table 5: Research income and costs by sponsor type, 2018-19 (UK higher education institutions) (figures in £M)</w:t>
            </w:r>
            <w:r w:rsidR="00A925D2">
              <w:rPr>
                <w:noProof/>
                <w:webHidden/>
              </w:rPr>
              <w:tab/>
            </w:r>
            <w:r w:rsidR="00A925D2">
              <w:rPr>
                <w:noProof/>
                <w:webHidden/>
              </w:rPr>
              <w:fldChar w:fldCharType="begin"/>
            </w:r>
            <w:r w:rsidR="00A925D2">
              <w:rPr>
                <w:noProof/>
                <w:webHidden/>
              </w:rPr>
              <w:instrText xml:space="preserve"> PAGEREF _Toc42783358 \h </w:instrText>
            </w:r>
            <w:r w:rsidR="00A925D2">
              <w:rPr>
                <w:noProof/>
                <w:webHidden/>
              </w:rPr>
            </w:r>
            <w:r w:rsidR="00A925D2">
              <w:rPr>
                <w:noProof/>
                <w:webHidden/>
              </w:rPr>
              <w:fldChar w:fldCharType="separate"/>
            </w:r>
            <w:r w:rsidR="006F19CC">
              <w:rPr>
                <w:noProof/>
                <w:webHidden/>
              </w:rPr>
              <w:t>14</w:t>
            </w:r>
            <w:r w:rsidR="00A925D2">
              <w:rPr>
                <w:noProof/>
                <w:webHidden/>
              </w:rPr>
              <w:fldChar w:fldCharType="end"/>
            </w:r>
          </w:hyperlink>
        </w:p>
        <w:p w14:paraId="4ECFF9A5" w14:textId="4DA4FE50" w:rsidR="00A925D2" w:rsidRDefault="00483176">
          <w:pPr>
            <w:pStyle w:val="TOC3"/>
            <w:tabs>
              <w:tab w:val="right" w:pos="9628"/>
            </w:tabs>
            <w:rPr>
              <w:rFonts w:eastAsiaTheme="minorEastAsia"/>
              <w:noProof/>
              <w:lang w:eastAsia="en-GB"/>
            </w:rPr>
          </w:pPr>
          <w:hyperlink w:anchor="_Toc42783359" w:history="1">
            <w:r w:rsidR="00A925D2" w:rsidRPr="0064449F">
              <w:rPr>
                <w:rStyle w:val="Hyperlink"/>
                <w:noProof/>
              </w:rPr>
              <w:t>Table 6: Derivation of Transparent Approach to Costing (TRAC) full economic costs and TRAC surplus/(deficit) (UK higher education institutions)</w:t>
            </w:r>
            <w:r w:rsidR="00A925D2">
              <w:rPr>
                <w:noProof/>
                <w:webHidden/>
              </w:rPr>
              <w:tab/>
            </w:r>
            <w:r w:rsidR="00A925D2">
              <w:rPr>
                <w:noProof/>
                <w:webHidden/>
              </w:rPr>
              <w:fldChar w:fldCharType="begin"/>
            </w:r>
            <w:r w:rsidR="00A925D2">
              <w:rPr>
                <w:noProof/>
                <w:webHidden/>
              </w:rPr>
              <w:instrText xml:space="preserve"> PAGEREF _Toc42783359 \h </w:instrText>
            </w:r>
            <w:r w:rsidR="00A925D2">
              <w:rPr>
                <w:noProof/>
                <w:webHidden/>
              </w:rPr>
            </w:r>
            <w:r w:rsidR="00A925D2">
              <w:rPr>
                <w:noProof/>
                <w:webHidden/>
              </w:rPr>
              <w:fldChar w:fldCharType="separate"/>
            </w:r>
            <w:r w:rsidR="006F19CC">
              <w:rPr>
                <w:noProof/>
                <w:webHidden/>
              </w:rPr>
              <w:t>16</w:t>
            </w:r>
            <w:r w:rsidR="00A925D2">
              <w:rPr>
                <w:noProof/>
                <w:webHidden/>
              </w:rPr>
              <w:fldChar w:fldCharType="end"/>
            </w:r>
          </w:hyperlink>
        </w:p>
        <w:p w14:paraId="1BA913A6" w14:textId="012D1734" w:rsidR="00A925D2" w:rsidRDefault="00483176">
          <w:pPr>
            <w:pStyle w:val="TOC1"/>
            <w:rPr>
              <w:rFonts w:eastAsiaTheme="minorEastAsia"/>
              <w:b w:val="0"/>
              <w:lang w:eastAsia="en-GB"/>
            </w:rPr>
          </w:pPr>
          <w:hyperlink w:anchor="_Toc42783360" w:history="1">
            <w:r w:rsidR="00A925D2" w:rsidRPr="0064449F">
              <w:rPr>
                <w:rStyle w:val="Hyperlink"/>
              </w:rPr>
              <w:t>Annex C: UK peer group summary 2018-19</w:t>
            </w:r>
            <w:r w:rsidR="00A925D2">
              <w:rPr>
                <w:webHidden/>
              </w:rPr>
              <w:tab/>
            </w:r>
            <w:r w:rsidR="00A925D2">
              <w:rPr>
                <w:webHidden/>
              </w:rPr>
              <w:fldChar w:fldCharType="begin"/>
            </w:r>
            <w:r w:rsidR="00A925D2">
              <w:rPr>
                <w:webHidden/>
              </w:rPr>
              <w:instrText xml:space="preserve"> PAGEREF _Toc42783360 \h </w:instrText>
            </w:r>
            <w:r w:rsidR="00A925D2">
              <w:rPr>
                <w:webHidden/>
              </w:rPr>
            </w:r>
            <w:r w:rsidR="00A925D2">
              <w:rPr>
                <w:webHidden/>
              </w:rPr>
              <w:fldChar w:fldCharType="separate"/>
            </w:r>
            <w:r w:rsidR="006F19CC">
              <w:rPr>
                <w:webHidden/>
              </w:rPr>
              <w:t>17</w:t>
            </w:r>
            <w:r w:rsidR="00A925D2">
              <w:rPr>
                <w:webHidden/>
              </w:rPr>
              <w:fldChar w:fldCharType="end"/>
            </w:r>
          </w:hyperlink>
        </w:p>
        <w:p w14:paraId="40637F93" w14:textId="55FFE5A5" w:rsidR="00A925D2" w:rsidRDefault="00483176">
          <w:pPr>
            <w:pStyle w:val="TOC2"/>
            <w:rPr>
              <w:rFonts w:eastAsiaTheme="minorEastAsia"/>
              <w:lang w:eastAsia="en-GB"/>
            </w:rPr>
          </w:pPr>
          <w:hyperlink w:anchor="_Toc42783361" w:history="1">
            <w:r w:rsidR="00A925D2" w:rsidRPr="0064449F">
              <w:rPr>
                <w:rStyle w:val="Hyperlink"/>
              </w:rPr>
              <w:t>Analysis by TRAC peer group: methodology</w:t>
            </w:r>
            <w:r w:rsidR="00A925D2">
              <w:rPr>
                <w:webHidden/>
              </w:rPr>
              <w:tab/>
            </w:r>
            <w:r w:rsidR="00A925D2">
              <w:rPr>
                <w:webHidden/>
              </w:rPr>
              <w:fldChar w:fldCharType="begin"/>
            </w:r>
            <w:r w:rsidR="00A925D2">
              <w:rPr>
                <w:webHidden/>
              </w:rPr>
              <w:instrText xml:space="preserve"> PAGEREF _Toc42783361 \h </w:instrText>
            </w:r>
            <w:r w:rsidR="00A925D2">
              <w:rPr>
                <w:webHidden/>
              </w:rPr>
            </w:r>
            <w:r w:rsidR="00A925D2">
              <w:rPr>
                <w:webHidden/>
              </w:rPr>
              <w:fldChar w:fldCharType="separate"/>
            </w:r>
            <w:r w:rsidR="006F19CC">
              <w:rPr>
                <w:webHidden/>
              </w:rPr>
              <w:t>17</w:t>
            </w:r>
            <w:r w:rsidR="00A925D2">
              <w:rPr>
                <w:webHidden/>
              </w:rPr>
              <w:fldChar w:fldCharType="end"/>
            </w:r>
          </w:hyperlink>
        </w:p>
        <w:p w14:paraId="60B861D5" w14:textId="4422140D" w:rsidR="00D35952" w:rsidRDefault="00D35952">
          <w:r>
            <w:rPr>
              <w:b/>
              <w:color w:val="2B579A"/>
              <w:shd w:val="clear" w:color="auto" w:fill="E6E6E6"/>
            </w:rPr>
            <w:fldChar w:fldCharType="end"/>
          </w:r>
        </w:p>
      </w:sdtContent>
    </w:sdt>
    <w:p w14:paraId="6450DC69" w14:textId="4A2312A0" w:rsidR="008B0C6B" w:rsidRDefault="008B0C6B"/>
    <w:p w14:paraId="0D249E4F" w14:textId="71A05E4E" w:rsidR="008B0C6B" w:rsidRDefault="006A263D" w:rsidP="00240128">
      <w:pPr>
        <w:pStyle w:val="Heading1"/>
      </w:pPr>
      <w:bookmarkStart w:id="0" w:name="_Toc509572617"/>
      <w:bookmarkStart w:id="1" w:name="_Toc42783346"/>
      <w:r>
        <w:lastRenderedPageBreak/>
        <w:t>Background</w:t>
      </w:r>
      <w:bookmarkEnd w:id="0"/>
      <w:bookmarkEnd w:id="1"/>
    </w:p>
    <w:p w14:paraId="50DA0155" w14:textId="15DCB124" w:rsidR="006A263D" w:rsidRDefault="006A263D" w:rsidP="006A263D">
      <w:pPr>
        <w:pStyle w:val="Numberedtext1"/>
      </w:pPr>
      <w:r w:rsidRPr="004A72E0">
        <w:t xml:space="preserve">All UK </w:t>
      </w:r>
      <w:r>
        <w:t>higher education institutions</w:t>
      </w:r>
      <w:r>
        <w:rPr>
          <w:rStyle w:val="FootnoteReference"/>
        </w:rPr>
        <w:footnoteReference w:id="2"/>
      </w:r>
      <w:r>
        <w:t xml:space="preserve"> </w:t>
      </w:r>
      <w:r w:rsidRPr="004A72E0">
        <w:t>are requir</w:t>
      </w:r>
      <w:r>
        <w:t>ed to report Transparent Approach to Costing (TRAC)</w:t>
      </w:r>
      <w:r w:rsidRPr="004A72E0">
        <w:t xml:space="preserve"> data annually by 31 January each year. </w:t>
      </w:r>
      <w:r>
        <w:t>TRAC data was first collected for academic year 1999-2000.</w:t>
      </w:r>
      <w:r w:rsidRPr="004A72E0">
        <w:t xml:space="preserve"> </w:t>
      </w:r>
      <w:r>
        <w:t xml:space="preserve">Further education colleges and </w:t>
      </w:r>
      <w:r w:rsidR="006D216D">
        <w:t>other</w:t>
      </w:r>
      <w:r>
        <w:t xml:space="preserve"> providers of higher education are not</w:t>
      </w:r>
      <w:r w:rsidR="00D033F7">
        <w:t xml:space="preserve"> currently</w:t>
      </w:r>
      <w:r>
        <w:t xml:space="preserve"> required to submit TRAC data. TRAC data for </w:t>
      </w:r>
      <w:r w:rsidR="00E95D8D">
        <w:t>2018-19</w:t>
      </w:r>
      <w:r>
        <w:t xml:space="preserve"> was collected by </w:t>
      </w:r>
      <w:r>
        <w:rPr>
          <w:rFonts w:cs="Arial"/>
          <w:szCs w:val="21"/>
        </w:rPr>
        <w:t xml:space="preserve">the Office for Students </w:t>
      </w:r>
      <w:r w:rsidR="00CA6A02">
        <w:rPr>
          <w:rFonts w:cs="Arial"/>
          <w:szCs w:val="21"/>
        </w:rPr>
        <w:t xml:space="preserve">(OfS) </w:t>
      </w:r>
      <w:r>
        <w:t>on behalf of UK Research and Innovation, the Scottish Funding Council, the Higher Education Funding Council for Wales and the Department for the Economy (Northern Ireland) and these bodies are co</w:t>
      </w:r>
      <w:r>
        <w:noBreakHyphen/>
        <w:t>owners of the data.</w:t>
      </w:r>
    </w:p>
    <w:p w14:paraId="0293C7DA" w14:textId="208B0048" w:rsidR="009F0207" w:rsidRPr="00340658" w:rsidRDefault="00E95D8D" w:rsidP="00960CEC">
      <w:pPr>
        <w:pStyle w:val="Numberedtext1"/>
        <w:rPr>
          <w:rFonts w:cs="Arial"/>
        </w:rPr>
      </w:pPr>
      <w:r>
        <w:t>2018-19</w:t>
      </w:r>
      <w:r w:rsidR="00894CCB">
        <w:t xml:space="preserve"> is the </w:t>
      </w:r>
      <w:r w:rsidR="005E7797">
        <w:t>fourth</w:t>
      </w:r>
      <w:r w:rsidR="00894CCB">
        <w:t xml:space="preserve"> year in which TRAC reporting has been prepared under the new Higher Education Statement of Recommended Practice, applying Financial Reporting Standard (FRS) 102. </w:t>
      </w:r>
      <w:r w:rsidR="00894CCB" w:rsidRPr="57A509F3">
        <w:rPr>
          <w:rFonts w:cs="Arial"/>
        </w:rPr>
        <w:t>This reporting standard introduced some significant changes in the way financial performance is reported, making comparison difficult between the latest results and historical TRAC data prior to 2015-16</w:t>
      </w:r>
      <w:r w:rsidR="009E4615" w:rsidRPr="57A509F3">
        <w:rPr>
          <w:rFonts w:cs="Arial"/>
        </w:rPr>
        <w:t>,</w:t>
      </w:r>
      <w:r w:rsidR="00B4567F" w:rsidRPr="57A509F3">
        <w:rPr>
          <w:rFonts w:cs="Arial"/>
        </w:rPr>
        <w:t xml:space="preserve"> </w:t>
      </w:r>
      <w:r w:rsidR="0053130B" w:rsidRPr="57A509F3">
        <w:rPr>
          <w:rFonts w:cs="Arial"/>
        </w:rPr>
        <w:t xml:space="preserve">as well as resulting in potentially greater variability in income between years. The changes lead to earlier recognition of income from new donations, endowments </w:t>
      </w:r>
      <w:r w:rsidR="001B4D94" w:rsidRPr="57A509F3">
        <w:rPr>
          <w:rFonts w:cs="Arial"/>
        </w:rPr>
        <w:t>(in full in the year of receipt</w:t>
      </w:r>
      <w:r w:rsidR="001B4D94">
        <w:rPr>
          <w:rFonts w:cs="Arial"/>
        </w:rPr>
        <w:t>)</w:t>
      </w:r>
      <w:r w:rsidR="001B4D94" w:rsidRPr="57A509F3">
        <w:rPr>
          <w:rFonts w:cs="Arial"/>
        </w:rPr>
        <w:t xml:space="preserve"> </w:t>
      </w:r>
      <w:r w:rsidR="0053130B" w:rsidRPr="57A509F3">
        <w:rPr>
          <w:rFonts w:cs="Arial"/>
        </w:rPr>
        <w:t>and new capital grants (</w:t>
      </w:r>
      <w:r w:rsidR="0089435B">
        <w:rPr>
          <w:rFonts w:cs="Arial"/>
        </w:rPr>
        <w:t xml:space="preserve">often </w:t>
      </w:r>
      <w:r w:rsidR="0053130B" w:rsidRPr="57A509F3">
        <w:rPr>
          <w:rFonts w:cs="Arial"/>
        </w:rPr>
        <w:t>in full in the year of receipt</w:t>
      </w:r>
      <w:r w:rsidR="0089435B">
        <w:rPr>
          <w:rFonts w:cs="Arial"/>
        </w:rPr>
        <w:t xml:space="preserve"> except whe</w:t>
      </w:r>
      <w:r w:rsidR="00377E87">
        <w:rPr>
          <w:rFonts w:cs="Arial"/>
        </w:rPr>
        <w:t>re</w:t>
      </w:r>
      <w:r w:rsidR="0089435B">
        <w:rPr>
          <w:rFonts w:cs="Arial"/>
        </w:rPr>
        <w:t xml:space="preserve"> the</w:t>
      </w:r>
      <w:r w:rsidR="00140F93">
        <w:rPr>
          <w:rFonts w:cs="Arial"/>
        </w:rPr>
        <w:t xml:space="preserve"> accruals method is</w:t>
      </w:r>
      <w:r w:rsidR="001F414A">
        <w:rPr>
          <w:rFonts w:cs="Arial"/>
        </w:rPr>
        <w:t xml:space="preserve"> used for accounting for government capital grants</w:t>
      </w:r>
      <w:r w:rsidR="0053130B" w:rsidRPr="57A509F3">
        <w:rPr>
          <w:rFonts w:cs="Arial"/>
        </w:rPr>
        <w:t xml:space="preserve">), which may be ahead of the expenditure which </w:t>
      </w:r>
      <w:r w:rsidR="002165BB" w:rsidRPr="57A509F3">
        <w:rPr>
          <w:rFonts w:cs="Arial"/>
        </w:rPr>
        <w:t>they</w:t>
      </w:r>
      <w:r w:rsidR="0053130B" w:rsidRPr="57A509F3">
        <w:rPr>
          <w:rFonts w:cs="Arial"/>
        </w:rPr>
        <w:t xml:space="preserve"> support</w:t>
      </w:r>
      <w:r w:rsidR="00894CCB" w:rsidRPr="57A509F3">
        <w:rPr>
          <w:rFonts w:cs="Arial"/>
        </w:rPr>
        <w:t xml:space="preserve">. </w:t>
      </w:r>
      <w:r w:rsidR="00DA2449" w:rsidRPr="57A509F3">
        <w:rPr>
          <w:rFonts w:cs="Arial"/>
        </w:rPr>
        <w:t>Further, i</w:t>
      </w:r>
      <w:r w:rsidR="0046712D" w:rsidRPr="57A509F3">
        <w:rPr>
          <w:rFonts w:cs="Arial"/>
        </w:rPr>
        <w:t>n 20</w:t>
      </w:r>
      <w:r w:rsidR="00E31A11" w:rsidRPr="57A509F3">
        <w:rPr>
          <w:rFonts w:cs="Arial"/>
        </w:rPr>
        <w:t>1</w:t>
      </w:r>
      <w:r w:rsidR="0046712D" w:rsidRPr="57A509F3">
        <w:rPr>
          <w:rFonts w:cs="Arial"/>
        </w:rPr>
        <w:t>6-17</w:t>
      </w:r>
      <w:r w:rsidR="009E4615" w:rsidRPr="57A509F3">
        <w:rPr>
          <w:rFonts w:cs="Arial"/>
        </w:rPr>
        <w:t>,</w:t>
      </w:r>
      <w:r w:rsidR="0046712D" w:rsidRPr="57A509F3">
        <w:rPr>
          <w:rFonts w:cs="Arial"/>
        </w:rPr>
        <w:t xml:space="preserve"> there was a change in the method for calculating the sustainability adjustment with the ‘Margin for sustainability and investment’ (MSI) replacing the previous method. </w:t>
      </w:r>
      <w:r w:rsidR="00894CCB" w:rsidRPr="57A509F3">
        <w:rPr>
          <w:rFonts w:cs="Arial"/>
        </w:rPr>
        <w:t>Data for 201</w:t>
      </w:r>
      <w:r w:rsidR="0046712D" w:rsidRPr="57A509F3">
        <w:rPr>
          <w:rFonts w:cs="Arial"/>
        </w:rPr>
        <w:t>6</w:t>
      </w:r>
      <w:r w:rsidR="00894CCB" w:rsidRPr="57A509F3">
        <w:rPr>
          <w:rFonts w:cs="Arial"/>
        </w:rPr>
        <w:t>-1</w:t>
      </w:r>
      <w:r w:rsidR="0046712D" w:rsidRPr="57A509F3">
        <w:rPr>
          <w:rFonts w:cs="Arial"/>
        </w:rPr>
        <w:t>7</w:t>
      </w:r>
      <w:r w:rsidR="00894CCB" w:rsidRPr="57A509F3">
        <w:rPr>
          <w:rFonts w:cs="Arial"/>
        </w:rPr>
        <w:t xml:space="preserve"> therefore formed the baseline for the start of a new time series of TRAC data. Analysis of the annual TRAC data for </w:t>
      </w:r>
      <w:r w:rsidR="00BF68A3">
        <w:rPr>
          <w:rFonts w:cs="Arial"/>
        </w:rPr>
        <w:t>2016</w:t>
      </w:r>
      <w:r w:rsidR="00447E05">
        <w:rPr>
          <w:rFonts w:cs="Arial"/>
        </w:rPr>
        <w:t>-</w:t>
      </w:r>
      <w:r w:rsidR="00BF68A3">
        <w:rPr>
          <w:rFonts w:cs="Arial"/>
        </w:rPr>
        <w:t xml:space="preserve">17 and </w:t>
      </w:r>
      <w:r w:rsidR="00894CCB" w:rsidRPr="57A509F3">
        <w:rPr>
          <w:rFonts w:cs="Arial"/>
        </w:rPr>
        <w:t>201</w:t>
      </w:r>
      <w:r w:rsidR="00660356" w:rsidRPr="57A509F3">
        <w:rPr>
          <w:rFonts w:cs="Arial"/>
        </w:rPr>
        <w:t>7</w:t>
      </w:r>
      <w:r w:rsidR="00894CCB" w:rsidRPr="57A509F3">
        <w:rPr>
          <w:rFonts w:cs="Arial"/>
        </w:rPr>
        <w:t>-1</w:t>
      </w:r>
      <w:r w:rsidR="00660356" w:rsidRPr="57A509F3">
        <w:rPr>
          <w:rFonts w:cs="Arial"/>
        </w:rPr>
        <w:t>8</w:t>
      </w:r>
      <w:r w:rsidR="00894CCB" w:rsidRPr="57A509F3">
        <w:rPr>
          <w:rFonts w:cs="Arial"/>
        </w:rPr>
        <w:t xml:space="preserve"> </w:t>
      </w:r>
      <w:r w:rsidR="00332D17">
        <w:rPr>
          <w:rFonts w:cs="Arial"/>
        </w:rPr>
        <w:t>were</w:t>
      </w:r>
      <w:r w:rsidR="00894CCB" w:rsidRPr="63EDE816">
        <w:rPr>
          <w:rFonts w:cs="Arial"/>
        </w:rPr>
        <w:t xml:space="preserve"> published </w:t>
      </w:r>
      <w:r w:rsidR="004D0714">
        <w:rPr>
          <w:rFonts w:cs="Arial"/>
        </w:rPr>
        <w:t xml:space="preserve">respectively </w:t>
      </w:r>
      <w:r w:rsidR="0046712D" w:rsidRPr="63EDE816">
        <w:rPr>
          <w:rFonts w:cs="Arial"/>
        </w:rPr>
        <w:t>at</w:t>
      </w:r>
      <w:r w:rsidR="009230C9" w:rsidRPr="63EDE816">
        <w:rPr>
          <w:rFonts w:cs="Arial"/>
        </w:rPr>
        <w:t xml:space="preserve">: </w:t>
      </w:r>
      <w:hyperlink r:id="rId16" w:history="1">
        <w:r w:rsidR="00D3490B">
          <w:rPr>
            <w:rStyle w:val="Hyperlink"/>
            <w:rFonts w:cs="Arial"/>
          </w:rPr>
          <w:t>www.officeforstudents.org.uk/data-and-analysis/trac-data/published-data-2016-17/</w:t>
        </w:r>
      </w:hyperlink>
      <w:r w:rsidR="00563E57">
        <w:rPr>
          <w:rFonts w:cs="Arial"/>
        </w:rPr>
        <w:t xml:space="preserve"> </w:t>
      </w:r>
      <w:r w:rsidR="005B0D82">
        <w:rPr>
          <w:rFonts w:cs="Arial"/>
        </w:rPr>
        <w:t xml:space="preserve">and </w:t>
      </w:r>
      <w:hyperlink r:id="rId17" w:history="1">
        <w:r w:rsidR="005B0D82" w:rsidRPr="005B0D82">
          <w:rPr>
            <w:rStyle w:val="Hyperlink"/>
            <w:rFonts w:cs="Arial"/>
          </w:rPr>
          <w:t>www.officeforstudents.org.uk/publications/annual-trac-2017-18/</w:t>
        </w:r>
      </w:hyperlink>
      <w:r w:rsidR="003C1181">
        <w:rPr>
          <w:rFonts w:cs="Arial"/>
        </w:rPr>
        <w:t>.</w:t>
      </w:r>
      <w:r w:rsidR="009F0207" w:rsidRPr="63EDE816">
        <w:rPr>
          <w:rFonts w:cs="Arial"/>
        </w:rPr>
        <w:t xml:space="preserve"> </w:t>
      </w:r>
    </w:p>
    <w:p w14:paraId="6ED3122A" w14:textId="4B782D1E" w:rsidR="00894CCB" w:rsidRPr="004B351A" w:rsidRDefault="00894CCB" w:rsidP="00894CCB">
      <w:pPr>
        <w:pStyle w:val="Numberedtext1"/>
      </w:pPr>
      <w:r w:rsidRPr="009F4294">
        <w:t>This paper contains</w:t>
      </w:r>
      <w:r>
        <w:t xml:space="preserve"> analysis</w:t>
      </w:r>
      <w:r w:rsidRPr="009F4294">
        <w:t xml:space="preserve"> </w:t>
      </w:r>
      <w:r>
        <w:t xml:space="preserve">of the </w:t>
      </w:r>
      <w:r w:rsidR="00E95D8D">
        <w:t>2018-19</w:t>
      </w:r>
      <w:r>
        <w:t xml:space="preserve"> sector aggregate data </w:t>
      </w:r>
      <w:r w:rsidRPr="009F4294">
        <w:t>based on submissions from</w:t>
      </w:r>
      <w:r w:rsidR="00614568">
        <w:t xml:space="preserve"> </w:t>
      </w:r>
      <w:r w:rsidR="00614568" w:rsidRPr="00F106C6">
        <w:t>1</w:t>
      </w:r>
      <w:r w:rsidR="00640D46" w:rsidRPr="00F106C6">
        <w:t>3</w:t>
      </w:r>
      <w:r w:rsidR="005E7797" w:rsidRPr="00F106C6">
        <w:t>5</w:t>
      </w:r>
      <w:r w:rsidRPr="00D033F7">
        <w:t xml:space="preserve"> higher education institutions in England and Northern Ireland</w:t>
      </w:r>
      <w:r w:rsidR="00CE7A4F">
        <w:t>.</w:t>
      </w:r>
      <w:r w:rsidRPr="00D033F7">
        <w:rPr>
          <w:rStyle w:val="FootnoteReference"/>
        </w:rPr>
        <w:footnoteReference w:id="3"/>
      </w:r>
      <w:r w:rsidRPr="00D033F7">
        <w:t xml:space="preserve"> Aggregated data for </w:t>
      </w:r>
      <w:r w:rsidRPr="00F106C6">
        <w:t>1</w:t>
      </w:r>
      <w:r w:rsidR="00735554" w:rsidRPr="00F106C6">
        <w:t>6</w:t>
      </w:r>
      <w:r w:rsidR="00C621D1">
        <w:t>2</w:t>
      </w:r>
      <w:r w:rsidRPr="00D033F7">
        <w:t xml:space="preserve"> UK</w:t>
      </w:r>
      <w:r>
        <w:t xml:space="preserve"> </w:t>
      </w:r>
      <w:r w:rsidRPr="004B351A">
        <w:t>higher education institutions is provided in Annex B.</w:t>
      </w:r>
    </w:p>
    <w:p w14:paraId="326CD2EA" w14:textId="53A397D1" w:rsidR="00894CCB" w:rsidRDefault="0046712D" w:rsidP="006A263D">
      <w:pPr>
        <w:pStyle w:val="Numberedtext1"/>
      </w:pPr>
      <w:r w:rsidRPr="004B351A">
        <w:t xml:space="preserve">This paper also contains </w:t>
      </w:r>
      <w:r w:rsidR="00251C27" w:rsidRPr="004B351A">
        <w:t>a</w:t>
      </w:r>
      <w:r w:rsidRPr="004B351A">
        <w:t xml:space="preserve">nnual TRAC data for </w:t>
      </w:r>
      <w:r w:rsidR="00E95D8D">
        <w:t>2018-19</w:t>
      </w:r>
      <w:r w:rsidRPr="004B351A">
        <w:t xml:space="preserve"> analysed by TRAC peer group </w:t>
      </w:r>
      <w:r w:rsidR="001739A2" w:rsidRPr="004B351A">
        <w:t>(</w:t>
      </w:r>
      <w:r w:rsidRPr="004B351A">
        <w:t xml:space="preserve">Annex </w:t>
      </w:r>
      <w:r w:rsidR="002168D6" w:rsidRPr="004B351A">
        <w:t>C</w:t>
      </w:r>
      <w:r w:rsidRPr="004B351A">
        <w:t xml:space="preserve"> </w:t>
      </w:r>
      <w:r w:rsidR="001739A2" w:rsidRPr="004B351A">
        <w:t xml:space="preserve">and </w:t>
      </w:r>
      <w:r w:rsidR="00844DAA" w:rsidRPr="004B351A">
        <w:t>Excel workbook</w:t>
      </w:r>
      <w:r w:rsidR="001A4C12" w:rsidRPr="004B351A">
        <w:rPr>
          <w:rStyle w:val="FootnoteReference"/>
        </w:rPr>
        <w:footnoteReference w:id="4"/>
      </w:r>
      <w:r w:rsidR="00844DAA" w:rsidRPr="004B351A">
        <w:t>)</w:t>
      </w:r>
      <w:r w:rsidR="001A4C12" w:rsidRPr="004B351A">
        <w:t>.</w:t>
      </w:r>
    </w:p>
    <w:p w14:paraId="192E4520" w14:textId="2430E530" w:rsidR="006E062E" w:rsidRDefault="006E062E" w:rsidP="0020657C">
      <w:pPr>
        <w:pStyle w:val="Heading3"/>
      </w:pPr>
      <w:bookmarkStart w:id="2" w:name="_Toc42783347"/>
      <w:r w:rsidRPr="0020657C">
        <w:t>Contact</w:t>
      </w:r>
      <w:bookmarkEnd w:id="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2554"/>
        <w:tblLook w:val="04A0" w:firstRow="1" w:lastRow="0" w:firstColumn="1" w:lastColumn="0" w:noHBand="0" w:noVBand="1"/>
      </w:tblPr>
      <w:tblGrid>
        <w:gridCol w:w="9628"/>
      </w:tblGrid>
      <w:tr w:rsidR="0020657C" w14:paraId="70B988E3" w14:textId="77777777" w:rsidTr="0020657C">
        <w:tc>
          <w:tcPr>
            <w:tcW w:w="9628" w:type="dxa"/>
            <w:shd w:val="clear" w:color="auto" w:fill="002554"/>
          </w:tcPr>
          <w:p w14:paraId="705E679B" w14:textId="6596728E" w:rsidR="0020657C" w:rsidRDefault="0020657C" w:rsidP="0020657C">
            <w:pPr>
              <w:spacing w:before="120" w:after="240" w:line="300" w:lineRule="atLeast"/>
              <w:ind w:left="170" w:right="170"/>
            </w:pPr>
            <w:r w:rsidRPr="0020657C">
              <w:t>For enquiries regarding the TRAC data please contact Heather Williams, Principal Analyst (Costing), email trac@officeforstudents.org.uk.</w:t>
            </w:r>
          </w:p>
        </w:tc>
      </w:tr>
    </w:tbl>
    <w:p w14:paraId="13E42604" w14:textId="77777777" w:rsidR="008B0C6B" w:rsidRPr="008B0C6B" w:rsidRDefault="00BD2D3B" w:rsidP="008B0C6B">
      <w:pPr>
        <w:pStyle w:val="Heading1"/>
        <w:spacing w:after="300" w:line="240" w:lineRule="auto"/>
      </w:pPr>
      <w:bookmarkStart w:id="3" w:name="_Toc42783348"/>
      <w:r>
        <w:lastRenderedPageBreak/>
        <w:t>Key points</w:t>
      </w:r>
      <w:bookmarkEnd w:id="3"/>
    </w:p>
    <w:p w14:paraId="3293141D" w14:textId="631774E7" w:rsidR="004D1783" w:rsidRDefault="00330B8D" w:rsidP="004D1783">
      <w:pPr>
        <w:pStyle w:val="Numberedtext1"/>
      </w:pPr>
      <w:r>
        <w:t xml:space="preserve">The </w:t>
      </w:r>
      <w:r w:rsidR="00C86505">
        <w:t>a</w:t>
      </w:r>
      <w:r>
        <w:t xml:space="preserve">nnual TRAC return for </w:t>
      </w:r>
      <w:r w:rsidR="00E95D8D">
        <w:t>2018-19</w:t>
      </w:r>
      <w:r>
        <w:t xml:space="preserve"> showed </w:t>
      </w:r>
      <w:r w:rsidR="002E06D2">
        <w:t xml:space="preserve">a </w:t>
      </w:r>
      <w:r>
        <w:t xml:space="preserve">sector aggregate deficit </w:t>
      </w:r>
      <w:r w:rsidRPr="00CC061E">
        <w:t>of £1,</w:t>
      </w:r>
      <w:r w:rsidR="0099340A" w:rsidRPr="00CC061E">
        <w:t>44</w:t>
      </w:r>
      <w:r w:rsidR="00435E56">
        <w:t>8</w:t>
      </w:r>
      <w:r>
        <w:t xml:space="preserve"> million for higher education institutions in England and Northern Ireland, with 9</w:t>
      </w:r>
      <w:r w:rsidR="00A746CC">
        <w:t>6</w:t>
      </w:r>
      <w:r>
        <w:t>.</w:t>
      </w:r>
      <w:r w:rsidR="008253DB">
        <w:t>1</w:t>
      </w:r>
      <w:r>
        <w:t xml:space="preserve"> per cent of TRAC full economic costs recovered</w:t>
      </w:r>
      <w:r w:rsidR="005D0EC9">
        <w:t>.</w:t>
      </w:r>
      <w:r w:rsidR="006D216D">
        <w:rPr>
          <w:rStyle w:val="FootnoteReference"/>
        </w:rPr>
        <w:footnoteReference w:id="5"/>
      </w:r>
      <w:r>
        <w:t xml:space="preserve"> This compares with </w:t>
      </w:r>
      <w:r w:rsidR="002E06D2">
        <w:t>a</w:t>
      </w:r>
      <w:r>
        <w:t xml:space="preserve"> deficit of £1,</w:t>
      </w:r>
      <w:r w:rsidR="008253DB">
        <w:t>442</w:t>
      </w:r>
      <w:r>
        <w:t xml:space="preserve"> million, and a recovery of 9</w:t>
      </w:r>
      <w:r w:rsidR="00CC061E">
        <w:t>5</w:t>
      </w:r>
      <w:r>
        <w:t>.</w:t>
      </w:r>
      <w:r w:rsidR="00CC061E">
        <w:t>9</w:t>
      </w:r>
      <w:r>
        <w:t xml:space="preserve"> per cent</w:t>
      </w:r>
      <w:r w:rsidR="006841CA">
        <w:t xml:space="preserve"> in </w:t>
      </w:r>
      <w:r w:rsidR="006841CA" w:rsidRPr="00A746CC">
        <w:t>201</w:t>
      </w:r>
      <w:r w:rsidR="00A746CC" w:rsidRPr="00A746CC">
        <w:t>7</w:t>
      </w:r>
      <w:r w:rsidR="006841CA" w:rsidRPr="00A746CC">
        <w:t>-1</w:t>
      </w:r>
      <w:r w:rsidR="00A746CC" w:rsidRPr="00A746CC">
        <w:t>8</w:t>
      </w:r>
      <w:r>
        <w:t>.</w:t>
      </w:r>
      <w:r w:rsidR="007C730D">
        <w:t xml:space="preserve"> </w:t>
      </w:r>
      <w:r w:rsidR="00D9235A">
        <w:t>T</w:t>
      </w:r>
      <w:r w:rsidR="007C730D">
        <w:t>his</w:t>
      </w:r>
      <w:r w:rsidR="00A128B0">
        <w:t xml:space="preserve"> excess</w:t>
      </w:r>
      <w:r w:rsidR="00C812D0">
        <w:t xml:space="preserve"> of costs over income</w:t>
      </w:r>
      <w:r w:rsidR="002E2558">
        <w:t xml:space="preserve"> </w:t>
      </w:r>
      <w:r w:rsidR="00C6487A">
        <w:t xml:space="preserve">is </w:t>
      </w:r>
      <w:r w:rsidR="000B6529">
        <w:t>consist</w:t>
      </w:r>
      <w:r w:rsidR="00281586">
        <w:t>ent</w:t>
      </w:r>
      <w:r w:rsidR="00F74350">
        <w:t xml:space="preserve"> with </w:t>
      </w:r>
      <w:r w:rsidR="007C730D">
        <w:t xml:space="preserve">the previous year </w:t>
      </w:r>
      <w:r w:rsidR="005C57A8">
        <w:t>with</w:t>
      </w:r>
      <w:r w:rsidR="00EA6691">
        <w:t xml:space="preserve"> </w:t>
      </w:r>
      <w:r w:rsidR="00717C72">
        <w:t>total income increas</w:t>
      </w:r>
      <w:r w:rsidR="00A70BC2">
        <w:t>ing</w:t>
      </w:r>
      <w:r w:rsidR="00717C72">
        <w:t xml:space="preserve"> by 5.5 per cent whilst </w:t>
      </w:r>
      <w:r w:rsidR="004D0B01">
        <w:t>the full economic costs of all activities increas</w:t>
      </w:r>
      <w:r w:rsidR="50A593E5">
        <w:t>ed</w:t>
      </w:r>
      <w:r w:rsidR="004D0B01">
        <w:t xml:space="preserve"> </w:t>
      </w:r>
      <w:r w:rsidR="004D0B01" w:rsidRPr="00390280">
        <w:t xml:space="preserve">by </w:t>
      </w:r>
      <w:r w:rsidR="00A75179">
        <w:t>5</w:t>
      </w:r>
      <w:r w:rsidR="00136576" w:rsidRPr="00390280">
        <w:t>.</w:t>
      </w:r>
      <w:r w:rsidR="004D11E4">
        <w:t>3</w:t>
      </w:r>
      <w:r w:rsidR="004D0B01" w:rsidRPr="00390280">
        <w:t xml:space="preserve"> per cent</w:t>
      </w:r>
      <w:r w:rsidR="004D0B01">
        <w:t xml:space="preserve">. This increase </w:t>
      </w:r>
      <w:r w:rsidR="004D11E4">
        <w:t xml:space="preserve">in </w:t>
      </w:r>
      <w:r w:rsidR="00E87783">
        <w:t xml:space="preserve">full economic costs </w:t>
      </w:r>
      <w:r w:rsidR="004D0B01">
        <w:t>comprises:</w:t>
      </w:r>
    </w:p>
    <w:p w14:paraId="2CB041D1" w14:textId="63543911" w:rsidR="00207D2E" w:rsidRDefault="004B6302" w:rsidP="004B6302">
      <w:pPr>
        <w:pStyle w:val="Numberedtext2"/>
      </w:pPr>
      <w:r>
        <w:t>Staff cost increases of £4,</w:t>
      </w:r>
      <w:r w:rsidR="00D70DA8">
        <w:t>95</w:t>
      </w:r>
      <w:r w:rsidR="001C4118">
        <w:t>0</w:t>
      </w:r>
      <w:r>
        <w:t xml:space="preserve"> million (a</w:t>
      </w:r>
      <w:r w:rsidR="006056B5">
        <w:t xml:space="preserve">n increase of </w:t>
      </w:r>
      <w:r>
        <w:t xml:space="preserve"> 2</w:t>
      </w:r>
      <w:r w:rsidR="001C4118">
        <w:t>9.0</w:t>
      </w:r>
      <w:r>
        <w:t xml:space="preserve"> per cent) which includes an exceptional, non-cash, accounting expense, to reflect the increase to the deficit contributions that employers will need to make to </w:t>
      </w:r>
      <w:r w:rsidR="00675D53">
        <w:t>pension schemes</w:t>
      </w:r>
      <w:r w:rsidR="00823E8F">
        <w:t xml:space="preserve">, most substantially </w:t>
      </w:r>
      <w:r>
        <w:t>the Universities Superannuation Scheme (USS) following the finalisation of the 2017 USS valuation. The value of this additional cost in 2018-19 was £</w:t>
      </w:r>
      <w:r w:rsidR="0012624D">
        <w:t>4,083</w:t>
      </w:r>
      <w:r w:rsidR="0039235A">
        <w:t xml:space="preserve"> million</w:t>
      </w:r>
      <w:r w:rsidR="003A403D">
        <w:t>,</w:t>
      </w:r>
      <w:r w:rsidR="00DB35BA">
        <w:t xml:space="preserve"> thus the underl</w:t>
      </w:r>
      <w:r w:rsidR="00186BAD">
        <w:t xml:space="preserve">ying increase in staff costs was </w:t>
      </w:r>
      <w:r w:rsidR="00EB32E8">
        <w:t>5.</w:t>
      </w:r>
      <w:r w:rsidR="00BA0E40">
        <w:t>1</w:t>
      </w:r>
      <w:r w:rsidR="00186BAD">
        <w:t xml:space="preserve"> per cent</w:t>
      </w:r>
      <w:r w:rsidR="008B7286">
        <w:t>.</w:t>
      </w:r>
      <w:r w:rsidR="0021725B">
        <w:rPr>
          <w:rStyle w:val="FootnoteReference"/>
        </w:rPr>
        <w:footnoteReference w:id="6"/>
      </w:r>
    </w:p>
    <w:p w14:paraId="2155B4E6" w14:textId="4D241E33" w:rsidR="004B6302" w:rsidRDefault="00054E2A" w:rsidP="004B6302">
      <w:pPr>
        <w:pStyle w:val="Numberedtext2"/>
      </w:pPr>
      <w:r>
        <w:t>O</w:t>
      </w:r>
      <w:r w:rsidR="004B6302">
        <w:t>ther operating cost increases of £468 million (</w:t>
      </w:r>
      <w:r w:rsidR="00310E21">
        <w:t>3</w:t>
      </w:r>
      <w:r w:rsidR="004B6302">
        <w:t>.</w:t>
      </w:r>
      <w:r w:rsidR="00310E21">
        <w:t>9</w:t>
      </w:r>
      <w:r w:rsidR="004B6302">
        <w:t xml:space="preserve"> per cent) and an increase in depreciation of £1</w:t>
      </w:r>
      <w:r w:rsidR="00310E21">
        <w:t>50</w:t>
      </w:r>
      <w:r w:rsidR="004B6302">
        <w:t xml:space="preserve"> million (7.</w:t>
      </w:r>
      <w:r w:rsidR="00310E21">
        <w:t>1</w:t>
      </w:r>
      <w:r w:rsidR="004B6302">
        <w:t> per cent)</w:t>
      </w:r>
      <w:r w:rsidR="00941869">
        <w:t>.</w:t>
      </w:r>
    </w:p>
    <w:p w14:paraId="30C0C3B1" w14:textId="1578428E" w:rsidR="006D216D" w:rsidRPr="00B41B99" w:rsidRDefault="0069757E" w:rsidP="004D0B01">
      <w:pPr>
        <w:pStyle w:val="Numberedtext2"/>
      </w:pPr>
      <w:r w:rsidRPr="00031449">
        <w:t>A small increase in the sustainability adjustment of £</w:t>
      </w:r>
      <w:r w:rsidR="00932F0B" w:rsidRPr="00031449">
        <w:t>92</w:t>
      </w:r>
      <w:r w:rsidRPr="00031449">
        <w:t xml:space="preserve"> million</w:t>
      </w:r>
      <w:r w:rsidR="00ED3F3B" w:rsidRPr="00031449">
        <w:t xml:space="preserve">, but </w:t>
      </w:r>
      <w:r w:rsidR="00A3213E" w:rsidRPr="00031449">
        <w:t>the sustainability adjustment represents 9.</w:t>
      </w:r>
      <w:r w:rsidR="004353A5" w:rsidRPr="00031449">
        <w:t>1</w:t>
      </w:r>
      <w:r w:rsidR="00A3213E" w:rsidRPr="00031449">
        <w:t xml:space="preserve"> per cent of total income, compared with 9.</w:t>
      </w:r>
      <w:r w:rsidR="00D56E13" w:rsidRPr="00031449">
        <w:t>3</w:t>
      </w:r>
      <w:r w:rsidR="00A3213E" w:rsidRPr="00031449">
        <w:t xml:space="preserve"> per cent in 201</w:t>
      </w:r>
      <w:r w:rsidR="00D56E13" w:rsidRPr="00031449">
        <w:t>7</w:t>
      </w:r>
      <w:r w:rsidR="00A3213E" w:rsidRPr="00031449">
        <w:t>-1</w:t>
      </w:r>
      <w:r w:rsidR="00D56E13" w:rsidRPr="00031449">
        <w:t>8</w:t>
      </w:r>
      <w:r w:rsidR="00A3213E" w:rsidRPr="00031449">
        <w:t>.</w:t>
      </w:r>
    </w:p>
    <w:p w14:paraId="6E202FCB" w14:textId="71EC17DE" w:rsidR="00A03C34" w:rsidRDefault="00A03C34" w:rsidP="006D216D">
      <w:pPr>
        <w:pStyle w:val="Numberedtext1"/>
      </w:pPr>
      <w:r>
        <w:t xml:space="preserve">Total income includes </w:t>
      </w:r>
      <w:r w:rsidRPr="00C13561">
        <w:t>£</w:t>
      </w:r>
      <w:r w:rsidR="00BB7528" w:rsidRPr="00C13561">
        <w:t>1,041</w:t>
      </w:r>
      <w:r w:rsidRPr="00C13561">
        <w:t xml:space="preserve"> million of income from new endowments received, new donations and new capital grants an</w:t>
      </w:r>
      <w:r w:rsidR="00ED3F3B" w:rsidRPr="00C13561">
        <w:t>d</w:t>
      </w:r>
      <w:r w:rsidRPr="00C13561">
        <w:t xml:space="preserve"> other material income, representing 2.</w:t>
      </w:r>
      <w:r w:rsidR="00C13561" w:rsidRPr="00C13561">
        <w:t>9</w:t>
      </w:r>
      <w:r w:rsidRPr="00C13561">
        <w:t xml:space="preserve"> per cent of income</w:t>
      </w:r>
      <w:r w:rsidR="00C86505" w:rsidRPr="00C13561">
        <w:t>.</w:t>
      </w:r>
      <w:r w:rsidR="00BB0602" w:rsidRPr="00C13561">
        <w:t xml:space="preserve"> </w:t>
      </w:r>
      <w:r w:rsidR="00C86505" w:rsidRPr="00C13561">
        <w:t xml:space="preserve">This </w:t>
      </w:r>
      <w:r w:rsidR="00BB0602" w:rsidRPr="00C13561">
        <w:t xml:space="preserve">has the effect of reducing the shortfall on cost recovery as income will be recognised </w:t>
      </w:r>
      <w:r w:rsidR="004D1783" w:rsidRPr="00C13561">
        <w:t xml:space="preserve">in full </w:t>
      </w:r>
      <w:r w:rsidR="00BB0602" w:rsidRPr="00C13561">
        <w:t>on receipt, whereas the expenditure</w:t>
      </w:r>
      <w:r w:rsidR="00BB0602">
        <w:t xml:space="preserve"> supported from these sources may be incurred in subsequent years</w:t>
      </w:r>
      <w:r>
        <w:t>.</w:t>
      </w:r>
    </w:p>
    <w:p w14:paraId="36BCE2DB" w14:textId="36816E42" w:rsidR="006D216D" w:rsidRDefault="0069757E" w:rsidP="006D216D">
      <w:pPr>
        <w:pStyle w:val="Numberedtext1"/>
      </w:pPr>
      <w:r>
        <w:t xml:space="preserve">Table 1 and Figure 1 show the sector aggregate TRAC data by activity for </w:t>
      </w:r>
      <w:r w:rsidR="00F83225">
        <w:t xml:space="preserve">higher education institutions </w:t>
      </w:r>
      <w:r>
        <w:t>in England and Norther</w:t>
      </w:r>
      <w:r w:rsidR="005A5F6A">
        <w:t>n</w:t>
      </w:r>
      <w:r>
        <w:t xml:space="preserve"> Ireland. </w:t>
      </w:r>
      <w:r w:rsidR="005A5F6A">
        <w:t xml:space="preserve">Key points are: </w:t>
      </w:r>
    </w:p>
    <w:p w14:paraId="0757BB70" w14:textId="07D6AF34" w:rsidR="0069757E" w:rsidRDefault="0069757E" w:rsidP="0069757E">
      <w:pPr>
        <w:pStyle w:val="Numberedtext2"/>
      </w:pPr>
      <w:r>
        <w:t>Publicly funded teaching incurred a small deficit on a full economic cost basis</w:t>
      </w:r>
      <w:r w:rsidR="00893F2E">
        <w:t xml:space="preserve"> – meaning that costs exceeded income, </w:t>
      </w:r>
      <w:r>
        <w:t xml:space="preserve">with </w:t>
      </w:r>
      <w:r w:rsidR="00893F2E">
        <w:t>9</w:t>
      </w:r>
      <w:r w:rsidR="009826F9">
        <w:t>6</w:t>
      </w:r>
      <w:r w:rsidR="00893F2E">
        <w:t>.</w:t>
      </w:r>
      <w:r w:rsidR="00F74496">
        <w:t>7</w:t>
      </w:r>
      <w:r w:rsidR="00893F2E">
        <w:t xml:space="preserve"> per cent of the full economic costs recovered. This is a deterioration from 201</w:t>
      </w:r>
      <w:r w:rsidR="009826F9">
        <w:t>7</w:t>
      </w:r>
      <w:r w:rsidR="00893F2E">
        <w:t>-1</w:t>
      </w:r>
      <w:r w:rsidR="009826F9">
        <w:t>8</w:t>
      </w:r>
      <w:r w:rsidR="00893F2E">
        <w:t>, when 9</w:t>
      </w:r>
      <w:r w:rsidR="009826F9">
        <w:t>8</w:t>
      </w:r>
      <w:r w:rsidR="00893F2E">
        <w:t>.</w:t>
      </w:r>
      <w:r w:rsidR="0015175E">
        <w:t>3</w:t>
      </w:r>
      <w:r w:rsidR="00893F2E">
        <w:t xml:space="preserve"> per cent of the full economic costs were recovered.</w:t>
      </w:r>
    </w:p>
    <w:p w14:paraId="4BBE5CED" w14:textId="5269BBC7" w:rsidR="00893F2E" w:rsidRDefault="00893F2E" w:rsidP="0069757E">
      <w:pPr>
        <w:pStyle w:val="Numberedtext2"/>
      </w:pPr>
      <w:r>
        <w:lastRenderedPageBreak/>
        <w:t>Non-publicly funded teaching (primarily overseas students) continued to generate a significant surplus: £1,</w:t>
      </w:r>
      <w:r w:rsidR="00F30BE6">
        <w:t>67</w:t>
      </w:r>
      <w:r w:rsidR="00BC14CF">
        <w:t>3</w:t>
      </w:r>
      <w:r>
        <w:t xml:space="preserve"> million recovering 1</w:t>
      </w:r>
      <w:r w:rsidR="00D72207">
        <w:t>43</w:t>
      </w:r>
      <w:r>
        <w:t>.</w:t>
      </w:r>
      <w:r w:rsidR="00D72207">
        <w:t>2</w:t>
      </w:r>
      <w:r>
        <w:t xml:space="preserve"> per cent of costs, representing a</w:t>
      </w:r>
      <w:r w:rsidR="00D72207">
        <w:t>n</w:t>
      </w:r>
      <w:r>
        <w:t xml:space="preserve"> increase in recovery from £1,</w:t>
      </w:r>
      <w:r w:rsidR="0015175E">
        <w:t>3</w:t>
      </w:r>
      <w:r w:rsidR="00C36AFF">
        <w:t>8</w:t>
      </w:r>
      <w:r w:rsidR="0015175E">
        <w:t>9</w:t>
      </w:r>
      <w:r>
        <w:t xml:space="preserve"> million or 13</w:t>
      </w:r>
      <w:r w:rsidR="00F30BE6">
        <w:t>9</w:t>
      </w:r>
      <w:r>
        <w:t>.</w:t>
      </w:r>
      <w:r w:rsidR="00F30BE6">
        <w:t>3</w:t>
      </w:r>
      <w:r>
        <w:t xml:space="preserve"> per cent</w:t>
      </w:r>
      <w:r w:rsidR="0099340A">
        <w:t xml:space="preserve"> of costs</w:t>
      </w:r>
      <w:r>
        <w:t xml:space="preserve"> in 201</w:t>
      </w:r>
      <w:r w:rsidR="00F30BE6">
        <w:t>7</w:t>
      </w:r>
      <w:r>
        <w:t>-1</w:t>
      </w:r>
      <w:r w:rsidR="00F30BE6">
        <w:t>8</w:t>
      </w:r>
      <w:r>
        <w:t>.</w:t>
      </w:r>
    </w:p>
    <w:p w14:paraId="6D989CE4" w14:textId="142A0D2E" w:rsidR="001F255A" w:rsidRDefault="00893F2E" w:rsidP="0069757E">
      <w:pPr>
        <w:pStyle w:val="Numberedtext2"/>
      </w:pPr>
      <w:r>
        <w:t>Research continues to show a substantial</w:t>
      </w:r>
      <w:r w:rsidR="001F255A">
        <w:t xml:space="preserve"> deficit, increasing from £3,7</w:t>
      </w:r>
      <w:r w:rsidR="009D31D7">
        <w:t>42</w:t>
      </w:r>
      <w:r w:rsidR="001F255A">
        <w:t xml:space="preserve"> million in 201</w:t>
      </w:r>
      <w:r w:rsidR="009D31D7">
        <w:t>7</w:t>
      </w:r>
      <w:r w:rsidR="001F255A">
        <w:t>-1</w:t>
      </w:r>
      <w:r w:rsidR="009D31D7">
        <w:t>8</w:t>
      </w:r>
      <w:r w:rsidR="001F255A">
        <w:t xml:space="preserve"> to £3,</w:t>
      </w:r>
      <w:r w:rsidR="00E24DB8">
        <w:t>93</w:t>
      </w:r>
      <w:r w:rsidR="00702F55">
        <w:t>5</w:t>
      </w:r>
      <w:r w:rsidR="001F255A">
        <w:t xml:space="preserve"> million in </w:t>
      </w:r>
      <w:r w:rsidR="00E95D8D">
        <w:t>2018-19</w:t>
      </w:r>
      <w:r w:rsidR="00652EFA">
        <w:t>.</w:t>
      </w:r>
      <w:r w:rsidR="001F255A">
        <w:t xml:space="preserve"> </w:t>
      </w:r>
      <w:r w:rsidR="00652EFA">
        <w:t xml:space="preserve">This </w:t>
      </w:r>
      <w:r w:rsidR="001F255A">
        <w:t>represent</w:t>
      </w:r>
      <w:r w:rsidR="00652EFA">
        <w:t>s</w:t>
      </w:r>
      <w:r w:rsidR="001F255A">
        <w:t xml:space="preserve"> a recovery of only 69.</w:t>
      </w:r>
      <w:r w:rsidR="00E24DB8">
        <w:t>5</w:t>
      </w:r>
      <w:r w:rsidR="001F255A">
        <w:t xml:space="preserve"> per cent of full economic costs, in </w:t>
      </w:r>
      <w:r w:rsidR="00E24DB8">
        <w:t xml:space="preserve">line with </w:t>
      </w:r>
      <w:r w:rsidR="001F255A">
        <w:t>201</w:t>
      </w:r>
      <w:r w:rsidR="00E24DB8">
        <w:t>7</w:t>
      </w:r>
      <w:r w:rsidR="001F255A">
        <w:t>-1</w:t>
      </w:r>
      <w:r w:rsidR="00E24DB8">
        <w:t>8</w:t>
      </w:r>
      <w:r w:rsidR="001F255A">
        <w:t xml:space="preserve"> </w:t>
      </w:r>
      <w:r w:rsidR="00E24DB8">
        <w:t xml:space="preserve">but </w:t>
      </w:r>
      <w:r w:rsidR="001F255A">
        <w:t>notably lower than in 2010-11 when the recovery rate on research peaked at 77.8</w:t>
      </w:r>
      <w:r w:rsidR="001D6996">
        <w:t> </w:t>
      </w:r>
      <w:r w:rsidR="001F255A">
        <w:t>per</w:t>
      </w:r>
      <w:r w:rsidR="001D6996">
        <w:t> </w:t>
      </w:r>
      <w:r w:rsidR="001F255A">
        <w:t xml:space="preserve">cent. Research income for </w:t>
      </w:r>
      <w:r w:rsidR="00E95D8D">
        <w:t>2018-19</w:t>
      </w:r>
      <w:r w:rsidR="001F255A">
        <w:t xml:space="preserve"> inc</w:t>
      </w:r>
      <w:r w:rsidR="005B6315">
        <w:t>ludes</w:t>
      </w:r>
      <w:r w:rsidR="001F255A">
        <w:t xml:space="preserve"> £</w:t>
      </w:r>
      <w:r w:rsidR="0028169D">
        <w:t>5</w:t>
      </w:r>
      <w:r w:rsidR="001F255A">
        <w:t>6</w:t>
      </w:r>
      <w:r w:rsidR="00B551FE">
        <w:t>7 m</w:t>
      </w:r>
      <w:r w:rsidR="001F255A">
        <w:t>illion of income from new endowments and donations</w:t>
      </w:r>
      <w:r w:rsidR="005B6315">
        <w:t>,</w:t>
      </w:r>
      <w:r w:rsidR="001F255A">
        <w:t xml:space="preserve"> and new capital grants, representing </w:t>
      </w:r>
      <w:r w:rsidR="00B551FE">
        <w:t>6</w:t>
      </w:r>
      <w:r w:rsidR="001F255A">
        <w:t>.</w:t>
      </w:r>
      <w:r w:rsidR="00B551FE">
        <w:t>3</w:t>
      </w:r>
      <w:r w:rsidR="001F255A">
        <w:t xml:space="preserve"> per cent of research income</w:t>
      </w:r>
      <w:r w:rsidR="005B6315">
        <w:t>.</w:t>
      </w:r>
      <w:r w:rsidR="001F255A">
        <w:t xml:space="preserve"> </w:t>
      </w:r>
      <w:r w:rsidR="005B6315">
        <w:t xml:space="preserve">This </w:t>
      </w:r>
      <w:r w:rsidR="001F255A">
        <w:t>compare</w:t>
      </w:r>
      <w:r w:rsidR="005B6315">
        <w:t>s</w:t>
      </w:r>
      <w:r w:rsidR="001F255A">
        <w:t xml:space="preserve"> with </w:t>
      </w:r>
      <w:r w:rsidR="001F255A" w:rsidRPr="00F15409">
        <w:t>£</w:t>
      </w:r>
      <w:r w:rsidR="00F244F8" w:rsidRPr="00F15409">
        <w:t>47</w:t>
      </w:r>
      <w:r w:rsidR="00F15409" w:rsidRPr="00F15409">
        <w:t>6</w:t>
      </w:r>
      <w:r w:rsidR="005B6315" w:rsidRPr="00F15409">
        <w:t> </w:t>
      </w:r>
      <w:r w:rsidR="001F255A" w:rsidRPr="00F15409">
        <w:t>million</w:t>
      </w:r>
      <w:r w:rsidR="001F255A">
        <w:t xml:space="preserve"> (</w:t>
      </w:r>
      <w:r w:rsidR="003A3586">
        <w:t>5</w:t>
      </w:r>
      <w:r w:rsidR="001F255A">
        <w:t>.</w:t>
      </w:r>
      <w:r w:rsidR="003A3586">
        <w:t>6</w:t>
      </w:r>
      <w:r w:rsidR="001F255A">
        <w:t xml:space="preserve"> per cent of research income) in 201</w:t>
      </w:r>
      <w:r w:rsidR="00F244F8">
        <w:t>7-</w:t>
      </w:r>
      <w:r w:rsidR="001F255A">
        <w:t>1</w:t>
      </w:r>
      <w:r w:rsidR="00F244F8">
        <w:t>8</w:t>
      </w:r>
      <w:r w:rsidR="001F255A">
        <w:t>.</w:t>
      </w:r>
    </w:p>
    <w:p w14:paraId="12C7D9E1" w14:textId="6B35D7AA" w:rsidR="00DE4397" w:rsidRDefault="001F255A" w:rsidP="0069757E">
      <w:pPr>
        <w:pStyle w:val="Numberedtext2"/>
      </w:pPr>
      <w:r>
        <w:t xml:space="preserve">Other (income generating) activities </w:t>
      </w:r>
      <w:r w:rsidR="00DE4397">
        <w:t>show a small surplus of income over costs of £2</w:t>
      </w:r>
      <w:r w:rsidR="005D7FC2">
        <w:t>1</w:t>
      </w:r>
      <w:r w:rsidR="005D1FF3">
        <w:t>4</w:t>
      </w:r>
      <w:r w:rsidR="001D6996">
        <w:t> </w:t>
      </w:r>
      <w:r w:rsidR="00DE4397">
        <w:t>million</w:t>
      </w:r>
      <w:r w:rsidR="00652EFA">
        <w:t>,</w:t>
      </w:r>
      <w:r w:rsidR="00DE4397">
        <w:t xml:space="preserve"> representing a recovery rate </w:t>
      </w:r>
      <w:r w:rsidR="003E3C11">
        <w:t>of</w:t>
      </w:r>
      <w:r w:rsidR="00DE4397">
        <w:t xml:space="preserve"> 10</w:t>
      </w:r>
      <w:r w:rsidR="001D6996">
        <w:t>3</w:t>
      </w:r>
      <w:r w:rsidR="00DE4397">
        <w:t>.</w:t>
      </w:r>
      <w:r w:rsidR="005D7FC2">
        <w:t>6</w:t>
      </w:r>
      <w:r w:rsidR="00DE4397">
        <w:t xml:space="preserve"> per cent – </w:t>
      </w:r>
      <w:r w:rsidR="003512DF">
        <w:t>in line</w:t>
      </w:r>
      <w:r w:rsidR="00DE4397">
        <w:t xml:space="preserve"> with recovery in 201</w:t>
      </w:r>
      <w:r w:rsidR="00FE7396">
        <w:t>7</w:t>
      </w:r>
      <w:r w:rsidR="00DE4397">
        <w:t>-1</w:t>
      </w:r>
      <w:r w:rsidR="00FE7396">
        <w:t>8</w:t>
      </w:r>
      <w:r w:rsidR="00C24E93">
        <w:t xml:space="preserve"> of 103.7 per cent</w:t>
      </w:r>
      <w:r w:rsidR="00DE4397">
        <w:t>.</w:t>
      </w:r>
    </w:p>
    <w:p w14:paraId="6A6F9167" w14:textId="27064BDA" w:rsidR="00CB07D5" w:rsidRDefault="00DE4397" w:rsidP="001000C2">
      <w:pPr>
        <w:pStyle w:val="Numberedtext2"/>
      </w:pPr>
      <w:r>
        <w:t>Other (non-commercial) activity (income from investments, donations and endowments and capital grants received in the year</w:t>
      </w:r>
      <w:r w:rsidR="009F3939">
        <w:t xml:space="preserve"> that are not allocated </w:t>
      </w:r>
      <w:r w:rsidR="00B70D45">
        <w:t>to teaching or research</w:t>
      </w:r>
      <w:r>
        <w:t>)</w:t>
      </w:r>
      <w:r w:rsidR="00DF7CB6">
        <w:t>,</w:t>
      </w:r>
      <w:r>
        <w:t xml:space="preserve"> off-set by expenditure funded from these sources in the year</w:t>
      </w:r>
      <w:r w:rsidR="00DF7CB6">
        <w:t>,</w:t>
      </w:r>
      <w:r>
        <w:t xml:space="preserve"> show</w:t>
      </w:r>
      <w:r w:rsidR="003E3C11">
        <w:t>s</w:t>
      </w:r>
      <w:r>
        <w:t xml:space="preserve"> a surplus of £</w:t>
      </w:r>
      <w:r w:rsidR="00997967">
        <w:t>1,051 </w:t>
      </w:r>
      <w:r>
        <w:t xml:space="preserve">million. This represents a </w:t>
      </w:r>
      <w:r w:rsidR="00997967">
        <w:t>modest increase</w:t>
      </w:r>
      <w:r>
        <w:t xml:space="preserve"> from £</w:t>
      </w:r>
      <w:r w:rsidR="002D42E8">
        <w:t>938</w:t>
      </w:r>
      <w:r>
        <w:t xml:space="preserve"> million in 201</w:t>
      </w:r>
      <w:r w:rsidR="002D42E8">
        <w:t>7</w:t>
      </w:r>
      <w:r>
        <w:t>-1</w:t>
      </w:r>
      <w:r w:rsidR="002D42E8">
        <w:t>8</w:t>
      </w:r>
      <w:r>
        <w:t>. Some caution is required in interpreting this category</w:t>
      </w:r>
      <w:r w:rsidR="00954509">
        <w:t xml:space="preserve"> as </w:t>
      </w:r>
      <w:r w:rsidR="00652EFA">
        <w:t>FRS</w:t>
      </w:r>
      <w:r w:rsidR="00954509">
        <w:t>102 causes potentially significant distortion</w:t>
      </w:r>
      <w:r w:rsidR="003D1449">
        <w:t>: the reporting standard</w:t>
      </w:r>
      <w:r w:rsidR="00954509">
        <w:t xml:space="preserve"> requir</w:t>
      </w:r>
      <w:r w:rsidR="003D1449">
        <w:t>es</w:t>
      </w:r>
      <w:r w:rsidR="00954509">
        <w:t xml:space="preserve"> </w:t>
      </w:r>
      <w:r w:rsidR="0053130B">
        <w:t xml:space="preserve">recognition </w:t>
      </w:r>
      <w:r w:rsidR="00954509">
        <w:t>of new endowments</w:t>
      </w:r>
      <w:r w:rsidR="0053130B">
        <w:t xml:space="preserve"> and</w:t>
      </w:r>
      <w:r w:rsidR="00954509">
        <w:t xml:space="preserve"> donations and </w:t>
      </w:r>
      <w:r w:rsidR="0053130B">
        <w:t xml:space="preserve">new </w:t>
      </w:r>
      <w:r w:rsidR="00954509">
        <w:t>capital grants received in year, as income in full</w:t>
      </w:r>
      <w:r w:rsidR="001D6996">
        <w:t xml:space="preserve"> in the year of receipt</w:t>
      </w:r>
      <w:r w:rsidR="003E3C11">
        <w:t>,</w:t>
      </w:r>
      <w:r w:rsidR="00954509">
        <w:t xml:space="preserve"> while the funds will support expenditure arising in subsequent years such as investment in buildings, equipment and facilities.</w:t>
      </w:r>
      <w:r w:rsidR="004E2850">
        <w:t xml:space="preserve"> In </w:t>
      </w:r>
      <w:r w:rsidR="00E95D8D">
        <w:t>2018-19</w:t>
      </w:r>
      <w:r w:rsidR="004E2850">
        <w:t>, income from new endowments, donations</w:t>
      </w:r>
      <w:r w:rsidR="00602948">
        <w:t>,</w:t>
      </w:r>
      <w:r w:rsidR="004E2850">
        <w:t xml:space="preserve"> new capital grants</w:t>
      </w:r>
      <w:r w:rsidR="00602948">
        <w:t xml:space="preserve"> and other material items</w:t>
      </w:r>
      <w:r w:rsidR="004E2850">
        <w:t xml:space="preserve"> </w:t>
      </w:r>
      <w:r w:rsidR="00F46013">
        <w:t>totalled</w:t>
      </w:r>
      <w:r w:rsidR="00154FA2">
        <w:t xml:space="preserve"> £21</w:t>
      </w:r>
      <w:r w:rsidR="00F46013">
        <w:t>2 million representing</w:t>
      </w:r>
      <w:r w:rsidR="004E2850">
        <w:t xml:space="preserve"> 1</w:t>
      </w:r>
      <w:r w:rsidR="009D4242">
        <w:t>4</w:t>
      </w:r>
      <w:r w:rsidR="004E2850">
        <w:t>.</w:t>
      </w:r>
      <w:r w:rsidR="009D4242">
        <w:t>4</w:t>
      </w:r>
      <w:r w:rsidR="00602948">
        <w:t> </w:t>
      </w:r>
      <w:r w:rsidR="004E2850">
        <w:t>per</w:t>
      </w:r>
      <w:r w:rsidR="00602948">
        <w:t> </w:t>
      </w:r>
      <w:r w:rsidR="004E2850">
        <w:t xml:space="preserve">cent of </w:t>
      </w:r>
      <w:r w:rsidR="001D6996">
        <w:t xml:space="preserve">other (non-commercial) </w:t>
      </w:r>
      <w:r w:rsidR="004E2850">
        <w:t xml:space="preserve">income, compared with </w:t>
      </w:r>
      <w:r w:rsidR="00685D13">
        <w:t>11</w:t>
      </w:r>
      <w:r w:rsidR="004E2850">
        <w:t>.9 per cent in 201</w:t>
      </w:r>
      <w:r w:rsidR="003F0D11">
        <w:t>7</w:t>
      </w:r>
      <w:r w:rsidR="004E2850">
        <w:t>-1</w:t>
      </w:r>
      <w:r w:rsidR="003F0D11">
        <w:t>8</w:t>
      </w:r>
      <w:r w:rsidR="004E2850">
        <w:t>.</w:t>
      </w:r>
    </w:p>
    <w:p w14:paraId="552A102E" w14:textId="39688285" w:rsidR="00CB07D5" w:rsidRDefault="00CB07D5" w:rsidP="009D4FC2">
      <w:pPr>
        <w:pStyle w:val="Heading3"/>
      </w:pPr>
      <w:bookmarkStart w:id="4" w:name="_Toc42783349"/>
      <w:r w:rsidRPr="009D4FC2">
        <w:t xml:space="preserve">Definitions for Table 1 </w:t>
      </w:r>
      <w:r w:rsidR="00F70B14" w:rsidRPr="00BE5AD4">
        <w:t xml:space="preserve">(page </w:t>
      </w:r>
      <w:r w:rsidR="008C23BA" w:rsidRPr="00BE5AD4">
        <w:t>5</w:t>
      </w:r>
      <w:r w:rsidR="00F70B14" w:rsidRPr="00BE5AD4">
        <w:t xml:space="preserve">) </w:t>
      </w:r>
      <w:r w:rsidRPr="00BE5AD4">
        <w:t xml:space="preserve">and </w:t>
      </w:r>
      <w:r w:rsidR="004B351A" w:rsidRPr="00BE5AD4">
        <w:t>F</w:t>
      </w:r>
      <w:r w:rsidRPr="00BE5AD4">
        <w:t>igure 1</w:t>
      </w:r>
      <w:r w:rsidR="00F70B14" w:rsidRPr="00BE5AD4">
        <w:t xml:space="preserve"> (page </w:t>
      </w:r>
      <w:r w:rsidR="008C23BA" w:rsidRPr="00BE5AD4">
        <w:t>6</w:t>
      </w:r>
      <w:r w:rsidR="00F70B14" w:rsidRPr="00BE5AD4">
        <w:t>)</w:t>
      </w:r>
      <w:bookmarkEnd w:id="4"/>
    </w:p>
    <w:p w14:paraId="49BBA6E7" w14:textId="52F3C925" w:rsidR="00CB07D5" w:rsidRDefault="00CB07D5" w:rsidP="00927905">
      <w:pPr>
        <w:spacing w:after="120" w:line="300" w:lineRule="atLeast"/>
      </w:pPr>
      <w:r w:rsidRPr="006B41A5">
        <w:rPr>
          <w:b/>
        </w:rPr>
        <w:t>Publicly funded teaching:</w:t>
      </w:r>
      <w:r>
        <w:t xml:space="preserve"> Teaching of higher and further education courses to home and EU students who were fundable by </w:t>
      </w:r>
      <w:r w:rsidR="004B351A">
        <w:t xml:space="preserve">the </w:t>
      </w:r>
      <w:r w:rsidR="005E7D59">
        <w:t>OfS</w:t>
      </w:r>
      <w:r>
        <w:t xml:space="preserve"> or the Department for the Economy (Northern Ireland) or by the NHS, National College of Teaching and Leadership, or Education and Skills Funding Agency. Income includes student fees paid via the Student Loans Company.</w:t>
      </w:r>
    </w:p>
    <w:p w14:paraId="3EFEBEDD" w14:textId="77777777" w:rsidR="00CB07D5" w:rsidRDefault="00CB07D5" w:rsidP="00927905">
      <w:pPr>
        <w:spacing w:after="120" w:line="300" w:lineRule="atLeast"/>
      </w:pPr>
      <w:r w:rsidRPr="006B41A5">
        <w:rPr>
          <w:b/>
        </w:rPr>
        <w:t>Non-publicly funded teaching:</w:t>
      </w:r>
      <w:r>
        <w:t xml:space="preserve"> Teaching of students from outside the UK and EU; self-funded home and EU students and other commissioned courses (such as employer-specific ‘closed’ courses).</w:t>
      </w:r>
    </w:p>
    <w:p w14:paraId="4DED010C" w14:textId="77777777" w:rsidR="00CB07D5" w:rsidRDefault="00CB07D5" w:rsidP="00927905">
      <w:pPr>
        <w:spacing w:after="120" w:line="300" w:lineRule="atLeast"/>
      </w:pPr>
      <w:r w:rsidRPr="006B41A5">
        <w:rPr>
          <w:b/>
        </w:rPr>
        <w:t>Research:</w:t>
      </w:r>
      <w:r>
        <w:t xml:space="preserve"> All research activity (but not scholarship or staff development) commissioned and funded by external sponsors, or the institution’s own-funded research activity. Public sponsors of research include UK research councils and other government departments. Other sponsors include UK charities, the EU, overseas governments, overseas </w:t>
      </w:r>
      <w:proofErr w:type="gramStart"/>
      <w:r>
        <w:t>charities</w:t>
      </w:r>
      <w:proofErr w:type="gramEnd"/>
      <w:r>
        <w:t xml:space="preserve"> and research carried out for commercial or industrial sponsors.</w:t>
      </w:r>
    </w:p>
    <w:p w14:paraId="184DFE42" w14:textId="77777777" w:rsidR="00CB07D5" w:rsidRDefault="00CB07D5" w:rsidP="00927905">
      <w:pPr>
        <w:spacing w:after="120" w:line="300" w:lineRule="atLeast"/>
      </w:pPr>
      <w:r w:rsidRPr="006B41A5">
        <w:rPr>
          <w:b/>
        </w:rPr>
        <w:t>Other (income</w:t>
      </w:r>
      <w:r>
        <w:rPr>
          <w:b/>
        </w:rPr>
        <w:t>-</w:t>
      </w:r>
      <w:r w:rsidRPr="006B41A5">
        <w:rPr>
          <w:b/>
        </w:rPr>
        <w:t>generating)</w:t>
      </w:r>
      <w:r>
        <w:rPr>
          <w:b/>
        </w:rPr>
        <w:t>:</w:t>
      </w:r>
      <w:r>
        <w:t xml:space="preserve"> Includes commercial activities such as catering and conferences, commercially let facilities and residences; activities carried out through subsidiary companies such as publishing or commercial consultancy; knowledge transfer activity; and, for institutions with medical and dental schools, services provided to the NHS. </w:t>
      </w:r>
    </w:p>
    <w:p w14:paraId="031FD5BD" w14:textId="77777777" w:rsidR="00CB07D5" w:rsidRDefault="00CB07D5" w:rsidP="001000C2">
      <w:pPr>
        <w:pStyle w:val="Numberedtext1"/>
        <w:numPr>
          <w:ilvl w:val="0"/>
          <w:numId w:val="0"/>
        </w:numPr>
      </w:pPr>
      <w:r w:rsidRPr="006B41A5">
        <w:rPr>
          <w:b/>
        </w:rPr>
        <w:t>Other (non-commer</w:t>
      </w:r>
      <w:r>
        <w:rPr>
          <w:b/>
        </w:rPr>
        <w:t>c</w:t>
      </w:r>
      <w:r w:rsidRPr="006B41A5">
        <w:rPr>
          <w:b/>
        </w:rPr>
        <w:t>ial)</w:t>
      </w:r>
      <w:r>
        <w:rPr>
          <w:b/>
        </w:rPr>
        <w:t>:</w:t>
      </w:r>
      <w:r>
        <w:t xml:space="preserve"> Non-commercial activity such as investment and donations or endowments.</w:t>
      </w:r>
    </w:p>
    <w:p w14:paraId="13EBE1E0" w14:textId="370C358F" w:rsidR="00CB07D5" w:rsidRDefault="00CB07D5" w:rsidP="001000C2">
      <w:pPr>
        <w:pStyle w:val="Numberedtext2"/>
        <w:numPr>
          <w:ilvl w:val="0"/>
          <w:numId w:val="0"/>
        </w:numPr>
        <w:sectPr w:rsidR="00CB07D5" w:rsidSect="008B0C6B">
          <w:headerReference w:type="default" r:id="rId18"/>
          <w:headerReference w:type="first" r:id="rId19"/>
          <w:footerReference w:type="first" r:id="rId20"/>
          <w:pgSz w:w="11906" w:h="16838" w:code="9"/>
          <w:pgMar w:top="1134" w:right="1134" w:bottom="1134" w:left="1134" w:header="454" w:footer="454" w:gutter="0"/>
          <w:cols w:space="708"/>
          <w:titlePg/>
          <w:docGrid w:linePitch="360"/>
        </w:sectPr>
      </w:pPr>
    </w:p>
    <w:p w14:paraId="3878C0F3" w14:textId="77777777" w:rsidR="00296B71" w:rsidRPr="00596069" w:rsidRDefault="00296B71" w:rsidP="00CE41B5">
      <w:pPr>
        <w:pStyle w:val="Heading3"/>
      </w:pPr>
      <w:bookmarkStart w:id="5" w:name="_Toc42783350"/>
      <w:r w:rsidRPr="00596069">
        <w:lastRenderedPageBreak/>
        <w:t xml:space="preserve">Table 1: TRAC income and full economic costs by activity, </w:t>
      </w:r>
      <w:r w:rsidR="00E95D8D" w:rsidRPr="00596069">
        <w:t>2018-19</w:t>
      </w:r>
      <w:r w:rsidRPr="00596069">
        <w:t xml:space="preserve"> (higher education institutions in England and Northern Ireland) (figures in £M)</w:t>
      </w:r>
      <w:r w:rsidRPr="00596069">
        <w:rPr>
          <w:rStyle w:val="FootnoteReference"/>
          <w:szCs w:val="22"/>
        </w:rPr>
        <w:footnoteReference w:id="7"/>
      </w:r>
      <w:bookmarkEnd w:id="5"/>
    </w:p>
    <w:tbl>
      <w:tblPr>
        <w:tblW w:w="14170" w:type="dxa"/>
        <w:tblLook w:val="04A0" w:firstRow="1" w:lastRow="0" w:firstColumn="1" w:lastColumn="0" w:noHBand="0" w:noVBand="1"/>
      </w:tblPr>
      <w:tblGrid>
        <w:gridCol w:w="4673"/>
        <w:gridCol w:w="1582"/>
        <w:gridCol w:w="1583"/>
        <w:gridCol w:w="1583"/>
        <w:gridCol w:w="1583"/>
        <w:gridCol w:w="1583"/>
        <w:gridCol w:w="1583"/>
      </w:tblGrid>
      <w:tr w:rsidR="003D01BC" w:rsidRPr="0060787D" w14:paraId="4EE2C0EC" w14:textId="77777777" w:rsidTr="005E1C71">
        <w:trPr>
          <w:trHeight w:val="1220"/>
        </w:trPr>
        <w:tc>
          <w:tcPr>
            <w:tcW w:w="4673" w:type="dxa"/>
            <w:tcBorders>
              <w:top w:val="single" w:sz="4" w:space="0" w:color="auto"/>
              <w:left w:val="single" w:sz="4" w:space="0" w:color="auto"/>
              <w:bottom w:val="single" w:sz="4" w:space="0" w:color="auto"/>
              <w:right w:val="nil"/>
            </w:tcBorders>
            <w:shd w:val="clear" w:color="000000" w:fill="002554"/>
            <w:vAlign w:val="center"/>
            <w:hideMark/>
          </w:tcPr>
          <w:p w14:paraId="03BA182E" w14:textId="77777777" w:rsidR="0060787D" w:rsidRPr="0060787D" w:rsidRDefault="0060787D" w:rsidP="0060787D">
            <w:pPr>
              <w:spacing w:after="0" w:line="240" w:lineRule="auto"/>
              <w:rPr>
                <w:rFonts w:ascii="Arial" w:eastAsia="Times New Roman" w:hAnsi="Arial" w:cs="Arial"/>
                <w:b/>
                <w:bCs/>
                <w:color w:val="FFFFFF"/>
                <w:lang w:eastAsia="en-GB"/>
              </w:rPr>
            </w:pPr>
            <w:r w:rsidRPr="0060787D">
              <w:rPr>
                <w:rFonts w:ascii="Arial" w:eastAsia="Times New Roman" w:hAnsi="Arial" w:cs="Arial"/>
                <w:b/>
                <w:bCs/>
                <w:color w:val="FFFFFF"/>
                <w:lang w:eastAsia="en-GB"/>
              </w:rPr>
              <w:t> </w:t>
            </w:r>
          </w:p>
        </w:tc>
        <w:tc>
          <w:tcPr>
            <w:tcW w:w="1582" w:type="dxa"/>
            <w:tcBorders>
              <w:top w:val="single" w:sz="4" w:space="0" w:color="auto"/>
              <w:left w:val="nil"/>
              <w:bottom w:val="nil"/>
              <w:right w:val="nil"/>
            </w:tcBorders>
            <w:shd w:val="clear" w:color="000000" w:fill="002554"/>
            <w:vAlign w:val="center"/>
            <w:hideMark/>
          </w:tcPr>
          <w:p w14:paraId="153E61A6" w14:textId="77777777" w:rsidR="0060787D" w:rsidRPr="0060787D" w:rsidRDefault="0060787D" w:rsidP="0060787D">
            <w:pPr>
              <w:spacing w:after="0" w:line="240" w:lineRule="auto"/>
              <w:jc w:val="right"/>
              <w:rPr>
                <w:rFonts w:ascii="Arial" w:eastAsia="Times New Roman" w:hAnsi="Arial" w:cs="Arial"/>
                <w:b/>
                <w:bCs/>
                <w:color w:val="FFFFFF"/>
                <w:lang w:eastAsia="en-GB"/>
              </w:rPr>
            </w:pPr>
            <w:r w:rsidRPr="0060787D">
              <w:rPr>
                <w:rFonts w:ascii="Arial" w:eastAsia="Times New Roman" w:hAnsi="Arial" w:cs="Arial"/>
                <w:b/>
                <w:bCs/>
                <w:color w:val="FFFFFF"/>
                <w:lang w:eastAsia="en-GB"/>
              </w:rPr>
              <w:t xml:space="preserve"> Publicly funded teaching</w:t>
            </w:r>
          </w:p>
        </w:tc>
        <w:tc>
          <w:tcPr>
            <w:tcW w:w="1583" w:type="dxa"/>
            <w:tcBorders>
              <w:top w:val="single" w:sz="4" w:space="0" w:color="auto"/>
              <w:left w:val="nil"/>
              <w:bottom w:val="nil"/>
              <w:right w:val="nil"/>
            </w:tcBorders>
            <w:shd w:val="clear" w:color="000000" w:fill="002554"/>
            <w:vAlign w:val="center"/>
            <w:hideMark/>
          </w:tcPr>
          <w:p w14:paraId="1534D4FB" w14:textId="77777777" w:rsidR="0060787D" w:rsidRPr="0060787D" w:rsidRDefault="0060787D" w:rsidP="0060787D">
            <w:pPr>
              <w:spacing w:after="0" w:line="240" w:lineRule="auto"/>
              <w:jc w:val="right"/>
              <w:rPr>
                <w:rFonts w:ascii="Arial" w:eastAsia="Times New Roman" w:hAnsi="Arial" w:cs="Arial"/>
                <w:b/>
                <w:bCs/>
                <w:color w:val="FFFFFF"/>
                <w:lang w:eastAsia="en-GB"/>
              </w:rPr>
            </w:pPr>
            <w:r w:rsidRPr="0060787D">
              <w:rPr>
                <w:rFonts w:ascii="Arial" w:eastAsia="Times New Roman" w:hAnsi="Arial" w:cs="Arial"/>
                <w:b/>
                <w:bCs/>
                <w:color w:val="FFFFFF"/>
                <w:lang w:eastAsia="en-GB"/>
              </w:rPr>
              <w:t xml:space="preserve"> Non-publicly funded teaching</w:t>
            </w:r>
          </w:p>
        </w:tc>
        <w:tc>
          <w:tcPr>
            <w:tcW w:w="1583" w:type="dxa"/>
            <w:tcBorders>
              <w:top w:val="single" w:sz="4" w:space="0" w:color="auto"/>
              <w:left w:val="nil"/>
              <w:bottom w:val="nil"/>
              <w:right w:val="nil"/>
            </w:tcBorders>
            <w:shd w:val="clear" w:color="000000" w:fill="002554"/>
            <w:vAlign w:val="center"/>
            <w:hideMark/>
          </w:tcPr>
          <w:p w14:paraId="26DB5316" w14:textId="77777777" w:rsidR="0060787D" w:rsidRPr="0060787D" w:rsidRDefault="0060787D" w:rsidP="0060787D">
            <w:pPr>
              <w:spacing w:after="0" w:line="240" w:lineRule="auto"/>
              <w:jc w:val="right"/>
              <w:rPr>
                <w:rFonts w:ascii="Arial" w:eastAsia="Times New Roman" w:hAnsi="Arial" w:cs="Arial"/>
                <w:b/>
                <w:bCs/>
                <w:color w:val="FFFFFF"/>
                <w:lang w:eastAsia="en-GB"/>
              </w:rPr>
            </w:pPr>
            <w:r w:rsidRPr="0060787D">
              <w:rPr>
                <w:rFonts w:ascii="Arial" w:eastAsia="Times New Roman" w:hAnsi="Arial" w:cs="Arial"/>
                <w:b/>
                <w:bCs/>
                <w:color w:val="FFFFFF"/>
                <w:lang w:eastAsia="en-GB"/>
              </w:rPr>
              <w:t>Research</w:t>
            </w:r>
          </w:p>
        </w:tc>
        <w:tc>
          <w:tcPr>
            <w:tcW w:w="1583" w:type="dxa"/>
            <w:tcBorders>
              <w:top w:val="single" w:sz="4" w:space="0" w:color="auto"/>
              <w:left w:val="nil"/>
              <w:bottom w:val="nil"/>
              <w:right w:val="nil"/>
            </w:tcBorders>
            <w:shd w:val="clear" w:color="000000" w:fill="002554"/>
            <w:vAlign w:val="center"/>
            <w:hideMark/>
          </w:tcPr>
          <w:p w14:paraId="470F4BC8" w14:textId="77777777" w:rsidR="0060787D" w:rsidRPr="0060787D" w:rsidRDefault="0060787D" w:rsidP="0060787D">
            <w:pPr>
              <w:spacing w:after="0" w:line="240" w:lineRule="auto"/>
              <w:jc w:val="right"/>
              <w:rPr>
                <w:rFonts w:ascii="Arial" w:eastAsia="Times New Roman" w:hAnsi="Arial" w:cs="Arial"/>
                <w:b/>
                <w:bCs/>
                <w:color w:val="FFFFFF"/>
                <w:lang w:eastAsia="en-GB"/>
              </w:rPr>
            </w:pPr>
            <w:r w:rsidRPr="0060787D">
              <w:rPr>
                <w:rFonts w:ascii="Arial" w:eastAsia="Times New Roman" w:hAnsi="Arial" w:cs="Arial"/>
                <w:b/>
                <w:bCs/>
                <w:color w:val="FFFFFF"/>
                <w:lang w:eastAsia="en-GB"/>
              </w:rPr>
              <w:t>Other (income-</w:t>
            </w:r>
            <w:r w:rsidRPr="0060787D">
              <w:rPr>
                <w:rFonts w:ascii="Arial" w:eastAsia="Times New Roman" w:hAnsi="Arial" w:cs="Arial"/>
                <w:b/>
                <w:bCs/>
                <w:strike/>
                <w:color w:val="FF0000"/>
                <w:lang w:eastAsia="en-GB"/>
              </w:rPr>
              <w:t xml:space="preserve"> </w:t>
            </w:r>
            <w:r w:rsidRPr="0060787D">
              <w:rPr>
                <w:rFonts w:ascii="Arial" w:eastAsia="Times New Roman" w:hAnsi="Arial" w:cs="Arial"/>
                <w:b/>
                <w:bCs/>
                <w:color w:val="FFFFFF"/>
                <w:lang w:eastAsia="en-GB"/>
              </w:rPr>
              <w:t>generating)</w:t>
            </w:r>
          </w:p>
        </w:tc>
        <w:tc>
          <w:tcPr>
            <w:tcW w:w="1583" w:type="dxa"/>
            <w:tcBorders>
              <w:top w:val="single" w:sz="4" w:space="0" w:color="auto"/>
              <w:left w:val="nil"/>
              <w:bottom w:val="nil"/>
              <w:right w:val="nil"/>
            </w:tcBorders>
            <w:shd w:val="clear" w:color="000000" w:fill="002554"/>
            <w:vAlign w:val="center"/>
            <w:hideMark/>
          </w:tcPr>
          <w:p w14:paraId="30DB1ADD" w14:textId="77777777" w:rsidR="0060787D" w:rsidRPr="0060787D" w:rsidRDefault="0060787D" w:rsidP="0060787D">
            <w:pPr>
              <w:spacing w:after="0" w:line="240" w:lineRule="auto"/>
              <w:jc w:val="right"/>
              <w:rPr>
                <w:rFonts w:ascii="Arial" w:eastAsia="Times New Roman" w:hAnsi="Arial" w:cs="Arial"/>
                <w:b/>
                <w:bCs/>
                <w:color w:val="FFFFFF"/>
                <w:lang w:eastAsia="en-GB"/>
              </w:rPr>
            </w:pPr>
            <w:r w:rsidRPr="0060787D">
              <w:rPr>
                <w:rFonts w:ascii="Arial" w:eastAsia="Times New Roman" w:hAnsi="Arial" w:cs="Arial"/>
                <w:b/>
                <w:bCs/>
                <w:color w:val="FFFFFF"/>
                <w:lang w:eastAsia="en-GB"/>
              </w:rPr>
              <w:t xml:space="preserve">Other </w:t>
            </w:r>
            <w:r w:rsidRPr="0060787D">
              <w:rPr>
                <w:rFonts w:ascii="Arial" w:eastAsia="Times New Roman" w:hAnsi="Arial" w:cs="Arial"/>
                <w:b/>
                <w:bCs/>
                <w:color w:val="FFFFFF"/>
                <w:lang w:eastAsia="en-GB"/>
              </w:rPr>
              <w:br/>
              <w:t>(non-commercial)</w:t>
            </w:r>
          </w:p>
        </w:tc>
        <w:tc>
          <w:tcPr>
            <w:tcW w:w="1583" w:type="dxa"/>
            <w:tcBorders>
              <w:top w:val="single" w:sz="4" w:space="0" w:color="auto"/>
              <w:left w:val="nil"/>
              <w:bottom w:val="nil"/>
              <w:right w:val="single" w:sz="4" w:space="0" w:color="auto"/>
            </w:tcBorders>
            <w:shd w:val="clear" w:color="000000" w:fill="002554"/>
            <w:vAlign w:val="center"/>
            <w:hideMark/>
          </w:tcPr>
          <w:p w14:paraId="60A256A4" w14:textId="77777777" w:rsidR="0060787D" w:rsidRPr="0060787D" w:rsidRDefault="0060787D" w:rsidP="0060787D">
            <w:pPr>
              <w:spacing w:after="0" w:line="240" w:lineRule="auto"/>
              <w:jc w:val="right"/>
              <w:rPr>
                <w:rFonts w:ascii="Arial" w:eastAsia="Times New Roman" w:hAnsi="Arial" w:cs="Arial"/>
                <w:b/>
                <w:bCs/>
                <w:color w:val="FFFFFF"/>
                <w:lang w:eastAsia="en-GB"/>
              </w:rPr>
            </w:pPr>
            <w:r w:rsidRPr="0060787D">
              <w:rPr>
                <w:rFonts w:ascii="Arial" w:eastAsia="Times New Roman" w:hAnsi="Arial" w:cs="Arial"/>
                <w:b/>
                <w:bCs/>
                <w:color w:val="FFFFFF"/>
                <w:lang w:eastAsia="en-GB"/>
              </w:rPr>
              <w:t>Total</w:t>
            </w:r>
          </w:p>
        </w:tc>
      </w:tr>
      <w:tr w:rsidR="003D01BC" w:rsidRPr="0060787D" w14:paraId="2F2C1B1A" w14:textId="77777777" w:rsidTr="005E1C71">
        <w:trPr>
          <w:trHeight w:val="450"/>
        </w:trPr>
        <w:tc>
          <w:tcPr>
            <w:tcW w:w="4673" w:type="dxa"/>
            <w:tcBorders>
              <w:top w:val="nil"/>
              <w:left w:val="single" w:sz="4" w:space="0" w:color="auto"/>
              <w:bottom w:val="nil"/>
              <w:right w:val="nil"/>
            </w:tcBorders>
            <w:shd w:val="clear" w:color="auto" w:fill="auto"/>
            <w:vAlign w:val="center"/>
            <w:hideMark/>
          </w:tcPr>
          <w:p w14:paraId="6C0FF46D" w14:textId="77777777" w:rsidR="0060787D" w:rsidRPr="0060787D" w:rsidRDefault="0060787D" w:rsidP="0060787D">
            <w:pPr>
              <w:spacing w:after="0" w:line="240" w:lineRule="auto"/>
              <w:rPr>
                <w:rFonts w:ascii="Arial" w:eastAsia="Times New Roman" w:hAnsi="Arial" w:cs="Arial"/>
                <w:lang w:eastAsia="en-GB"/>
              </w:rPr>
            </w:pPr>
            <w:r w:rsidRPr="0060787D">
              <w:rPr>
                <w:rFonts w:ascii="Arial" w:eastAsia="Times New Roman" w:hAnsi="Arial" w:cs="Arial"/>
                <w:lang w:eastAsia="en-GB"/>
              </w:rPr>
              <w:t>Income</w:t>
            </w:r>
          </w:p>
        </w:tc>
        <w:tc>
          <w:tcPr>
            <w:tcW w:w="1582" w:type="dxa"/>
            <w:tcBorders>
              <w:top w:val="single" w:sz="4" w:space="0" w:color="auto"/>
              <w:left w:val="nil"/>
              <w:bottom w:val="nil"/>
              <w:right w:val="nil"/>
            </w:tcBorders>
            <w:shd w:val="clear" w:color="auto" w:fill="auto"/>
            <w:vAlign w:val="center"/>
            <w:hideMark/>
          </w:tcPr>
          <w:p w14:paraId="3B20D982" w14:textId="77777777" w:rsidR="0060787D" w:rsidRPr="0060787D" w:rsidRDefault="0060787D" w:rsidP="0060787D">
            <w:pPr>
              <w:spacing w:after="0" w:line="240" w:lineRule="auto"/>
              <w:jc w:val="right"/>
              <w:rPr>
                <w:rFonts w:ascii="Arial" w:eastAsia="Times New Roman" w:hAnsi="Arial" w:cs="Arial"/>
                <w:lang w:eastAsia="en-GB"/>
              </w:rPr>
            </w:pPr>
            <w:r w:rsidRPr="0060787D">
              <w:rPr>
                <w:rFonts w:ascii="Arial" w:eastAsia="Times New Roman" w:hAnsi="Arial" w:cs="Arial"/>
                <w:lang w:eastAsia="en-GB"/>
              </w:rPr>
              <w:t>13,418</w:t>
            </w:r>
          </w:p>
        </w:tc>
        <w:tc>
          <w:tcPr>
            <w:tcW w:w="1583" w:type="dxa"/>
            <w:tcBorders>
              <w:top w:val="single" w:sz="4" w:space="0" w:color="auto"/>
              <w:left w:val="nil"/>
              <w:bottom w:val="nil"/>
              <w:right w:val="nil"/>
            </w:tcBorders>
            <w:shd w:val="clear" w:color="auto" w:fill="auto"/>
            <w:vAlign w:val="center"/>
            <w:hideMark/>
          </w:tcPr>
          <w:p w14:paraId="764516E2" w14:textId="77777777" w:rsidR="0060787D" w:rsidRPr="0060787D" w:rsidRDefault="0060787D" w:rsidP="0060787D">
            <w:pPr>
              <w:spacing w:after="0" w:line="240" w:lineRule="auto"/>
              <w:jc w:val="right"/>
              <w:rPr>
                <w:rFonts w:ascii="Arial" w:eastAsia="Times New Roman" w:hAnsi="Arial" w:cs="Arial"/>
                <w:lang w:eastAsia="en-GB"/>
              </w:rPr>
            </w:pPr>
            <w:r w:rsidRPr="0060787D">
              <w:rPr>
                <w:rFonts w:ascii="Arial" w:eastAsia="Times New Roman" w:hAnsi="Arial" w:cs="Arial"/>
                <w:lang w:eastAsia="en-GB"/>
              </w:rPr>
              <w:t>5,547</w:t>
            </w:r>
          </w:p>
        </w:tc>
        <w:tc>
          <w:tcPr>
            <w:tcW w:w="1583" w:type="dxa"/>
            <w:tcBorders>
              <w:top w:val="single" w:sz="4" w:space="0" w:color="auto"/>
              <w:left w:val="nil"/>
              <w:bottom w:val="nil"/>
              <w:right w:val="nil"/>
            </w:tcBorders>
            <w:shd w:val="clear" w:color="auto" w:fill="auto"/>
            <w:vAlign w:val="center"/>
            <w:hideMark/>
          </w:tcPr>
          <w:p w14:paraId="538BC0F4" w14:textId="77777777" w:rsidR="0060787D" w:rsidRPr="0060787D" w:rsidRDefault="0060787D" w:rsidP="0060787D">
            <w:pPr>
              <w:spacing w:after="0" w:line="240" w:lineRule="auto"/>
              <w:jc w:val="right"/>
              <w:rPr>
                <w:rFonts w:ascii="Arial" w:eastAsia="Times New Roman" w:hAnsi="Arial" w:cs="Arial"/>
                <w:lang w:eastAsia="en-GB"/>
              </w:rPr>
            </w:pPr>
            <w:r w:rsidRPr="0060787D">
              <w:rPr>
                <w:rFonts w:ascii="Arial" w:eastAsia="Times New Roman" w:hAnsi="Arial" w:cs="Arial"/>
                <w:lang w:eastAsia="en-GB"/>
              </w:rPr>
              <w:t>8,950</w:t>
            </w:r>
          </w:p>
        </w:tc>
        <w:tc>
          <w:tcPr>
            <w:tcW w:w="1583" w:type="dxa"/>
            <w:tcBorders>
              <w:top w:val="single" w:sz="4" w:space="0" w:color="auto"/>
              <w:left w:val="nil"/>
              <w:bottom w:val="nil"/>
              <w:right w:val="nil"/>
            </w:tcBorders>
            <w:shd w:val="clear" w:color="auto" w:fill="auto"/>
            <w:vAlign w:val="center"/>
            <w:hideMark/>
          </w:tcPr>
          <w:p w14:paraId="33763D5D" w14:textId="77777777" w:rsidR="0060787D" w:rsidRPr="0060787D" w:rsidRDefault="0060787D" w:rsidP="0060787D">
            <w:pPr>
              <w:spacing w:after="0" w:line="240" w:lineRule="auto"/>
              <w:jc w:val="right"/>
              <w:rPr>
                <w:rFonts w:ascii="Arial" w:eastAsia="Times New Roman" w:hAnsi="Arial" w:cs="Arial"/>
                <w:lang w:eastAsia="en-GB"/>
              </w:rPr>
            </w:pPr>
            <w:r w:rsidRPr="0060787D">
              <w:rPr>
                <w:rFonts w:ascii="Arial" w:eastAsia="Times New Roman" w:hAnsi="Arial" w:cs="Arial"/>
                <w:lang w:eastAsia="en-GB"/>
              </w:rPr>
              <w:t>6,108</w:t>
            </w:r>
          </w:p>
        </w:tc>
        <w:tc>
          <w:tcPr>
            <w:tcW w:w="1583" w:type="dxa"/>
            <w:tcBorders>
              <w:top w:val="single" w:sz="4" w:space="0" w:color="auto"/>
              <w:left w:val="nil"/>
              <w:bottom w:val="nil"/>
              <w:right w:val="nil"/>
            </w:tcBorders>
            <w:shd w:val="clear" w:color="auto" w:fill="auto"/>
            <w:vAlign w:val="center"/>
            <w:hideMark/>
          </w:tcPr>
          <w:p w14:paraId="5A1CE1C4" w14:textId="77777777" w:rsidR="0060787D" w:rsidRPr="0060787D" w:rsidRDefault="0060787D" w:rsidP="0060787D">
            <w:pPr>
              <w:spacing w:after="0" w:line="240" w:lineRule="auto"/>
              <w:jc w:val="right"/>
              <w:rPr>
                <w:rFonts w:ascii="Arial" w:eastAsia="Times New Roman" w:hAnsi="Arial" w:cs="Arial"/>
                <w:lang w:eastAsia="en-GB"/>
              </w:rPr>
            </w:pPr>
            <w:r w:rsidRPr="0060787D">
              <w:rPr>
                <w:rFonts w:ascii="Arial" w:eastAsia="Times New Roman" w:hAnsi="Arial" w:cs="Arial"/>
                <w:lang w:eastAsia="en-GB"/>
              </w:rPr>
              <w:t>1,471</w:t>
            </w:r>
          </w:p>
        </w:tc>
        <w:tc>
          <w:tcPr>
            <w:tcW w:w="1583" w:type="dxa"/>
            <w:tcBorders>
              <w:top w:val="single" w:sz="4" w:space="0" w:color="auto"/>
              <w:left w:val="nil"/>
              <w:bottom w:val="nil"/>
              <w:right w:val="single" w:sz="4" w:space="0" w:color="auto"/>
            </w:tcBorders>
            <w:shd w:val="clear" w:color="auto" w:fill="auto"/>
            <w:vAlign w:val="center"/>
            <w:hideMark/>
          </w:tcPr>
          <w:p w14:paraId="210DF2E6" w14:textId="77777777" w:rsidR="0060787D" w:rsidRPr="0060787D" w:rsidRDefault="0060787D" w:rsidP="0060787D">
            <w:pPr>
              <w:spacing w:after="0" w:line="240" w:lineRule="auto"/>
              <w:jc w:val="right"/>
              <w:rPr>
                <w:rFonts w:ascii="Arial" w:eastAsia="Times New Roman" w:hAnsi="Arial" w:cs="Arial"/>
                <w:lang w:eastAsia="en-GB"/>
              </w:rPr>
            </w:pPr>
            <w:r w:rsidRPr="0060787D">
              <w:rPr>
                <w:rFonts w:ascii="Arial" w:eastAsia="Times New Roman" w:hAnsi="Arial" w:cs="Arial"/>
                <w:lang w:eastAsia="en-GB"/>
              </w:rPr>
              <w:t>35,494</w:t>
            </w:r>
          </w:p>
        </w:tc>
      </w:tr>
      <w:tr w:rsidR="003D01BC" w:rsidRPr="0060787D" w14:paraId="47AF7414" w14:textId="77777777" w:rsidTr="005E1C71">
        <w:trPr>
          <w:trHeight w:val="450"/>
        </w:trPr>
        <w:tc>
          <w:tcPr>
            <w:tcW w:w="4673" w:type="dxa"/>
            <w:tcBorders>
              <w:top w:val="nil"/>
              <w:left w:val="single" w:sz="4" w:space="0" w:color="auto"/>
              <w:bottom w:val="single" w:sz="4" w:space="0" w:color="auto"/>
              <w:right w:val="nil"/>
            </w:tcBorders>
            <w:shd w:val="clear" w:color="auto" w:fill="auto"/>
            <w:vAlign w:val="center"/>
            <w:hideMark/>
          </w:tcPr>
          <w:p w14:paraId="4A187B1A" w14:textId="77777777" w:rsidR="0060787D" w:rsidRPr="0060787D" w:rsidRDefault="0060787D" w:rsidP="0060787D">
            <w:pPr>
              <w:spacing w:after="0" w:line="240" w:lineRule="auto"/>
              <w:rPr>
                <w:rFonts w:ascii="Arial" w:eastAsia="Times New Roman" w:hAnsi="Arial" w:cs="Arial"/>
                <w:lang w:eastAsia="en-GB"/>
              </w:rPr>
            </w:pPr>
            <w:r w:rsidRPr="0060787D">
              <w:rPr>
                <w:rFonts w:ascii="Arial" w:eastAsia="Times New Roman" w:hAnsi="Arial" w:cs="Arial"/>
                <w:lang w:eastAsia="en-GB"/>
              </w:rPr>
              <w:t>TRAC full economic costs</w:t>
            </w:r>
          </w:p>
        </w:tc>
        <w:tc>
          <w:tcPr>
            <w:tcW w:w="1582" w:type="dxa"/>
            <w:tcBorders>
              <w:top w:val="nil"/>
              <w:left w:val="nil"/>
              <w:bottom w:val="single" w:sz="4" w:space="0" w:color="auto"/>
              <w:right w:val="nil"/>
            </w:tcBorders>
            <w:shd w:val="clear" w:color="auto" w:fill="auto"/>
            <w:vAlign w:val="center"/>
            <w:hideMark/>
          </w:tcPr>
          <w:p w14:paraId="2837794D" w14:textId="77777777" w:rsidR="0060787D" w:rsidRPr="0060787D" w:rsidRDefault="0060787D" w:rsidP="0060787D">
            <w:pPr>
              <w:spacing w:after="0" w:line="240" w:lineRule="auto"/>
              <w:jc w:val="right"/>
              <w:rPr>
                <w:rFonts w:ascii="Arial" w:eastAsia="Times New Roman" w:hAnsi="Arial" w:cs="Arial"/>
                <w:lang w:eastAsia="en-GB"/>
              </w:rPr>
            </w:pPr>
            <w:r w:rsidRPr="0060787D">
              <w:rPr>
                <w:rFonts w:ascii="Arial" w:eastAsia="Times New Roman" w:hAnsi="Arial" w:cs="Arial"/>
                <w:lang w:eastAsia="en-GB"/>
              </w:rPr>
              <w:t>13,869</w:t>
            </w:r>
          </w:p>
        </w:tc>
        <w:tc>
          <w:tcPr>
            <w:tcW w:w="1583" w:type="dxa"/>
            <w:tcBorders>
              <w:top w:val="nil"/>
              <w:left w:val="nil"/>
              <w:bottom w:val="single" w:sz="4" w:space="0" w:color="auto"/>
              <w:right w:val="nil"/>
            </w:tcBorders>
            <w:shd w:val="clear" w:color="auto" w:fill="auto"/>
            <w:vAlign w:val="center"/>
            <w:hideMark/>
          </w:tcPr>
          <w:p w14:paraId="7335452D" w14:textId="77777777" w:rsidR="0060787D" w:rsidRPr="0060787D" w:rsidRDefault="0060787D" w:rsidP="0060787D">
            <w:pPr>
              <w:spacing w:after="0" w:line="240" w:lineRule="auto"/>
              <w:jc w:val="right"/>
              <w:rPr>
                <w:rFonts w:ascii="Arial" w:eastAsia="Times New Roman" w:hAnsi="Arial" w:cs="Arial"/>
                <w:lang w:eastAsia="en-GB"/>
              </w:rPr>
            </w:pPr>
            <w:r w:rsidRPr="0060787D">
              <w:rPr>
                <w:rFonts w:ascii="Arial" w:eastAsia="Times New Roman" w:hAnsi="Arial" w:cs="Arial"/>
                <w:lang w:eastAsia="en-GB"/>
              </w:rPr>
              <w:t>3,874</w:t>
            </w:r>
          </w:p>
        </w:tc>
        <w:tc>
          <w:tcPr>
            <w:tcW w:w="1583" w:type="dxa"/>
            <w:tcBorders>
              <w:top w:val="nil"/>
              <w:left w:val="nil"/>
              <w:bottom w:val="single" w:sz="4" w:space="0" w:color="auto"/>
              <w:right w:val="nil"/>
            </w:tcBorders>
            <w:shd w:val="clear" w:color="auto" w:fill="auto"/>
            <w:vAlign w:val="center"/>
            <w:hideMark/>
          </w:tcPr>
          <w:p w14:paraId="5DABD71E" w14:textId="77777777" w:rsidR="0060787D" w:rsidRPr="0060787D" w:rsidRDefault="0060787D" w:rsidP="0060787D">
            <w:pPr>
              <w:spacing w:after="0" w:line="240" w:lineRule="auto"/>
              <w:jc w:val="right"/>
              <w:rPr>
                <w:rFonts w:ascii="Arial" w:eastAsia="Times New Roman" w:hAnsi="Arial" w:cs="Arial"/>
                <w:lang w:eastAsia="en-GB"/>
              </w:rPr>
            </w:pPr>
            <w:r w:rsidRPr="0060787D">
              <w:rPr>
                <w:rFonts w:ascii="Arial" w:eastAsia="Times New Roman" w:hAnsi="Arial" w:cs="Arial"/>
                <w:lang w:eastAsia="en-GB"/>
              </w:rPr>
              <w:t>12,885</w:t>
            </w:r>
          </w:p>
        </w:tc>
        <w:tc>
          <w:tcPr>
            <w:tcW w:w="1583" w:type="dxa"/>
            <w:tcBorders>
              <w:top w:val="nil"/>
              <w:left w:val="nil"/>
              <w:bottom w:val="single" w:sz="4" w:space="0" w:color="auto"/>
              <w:right w:val="nil"/>
            </w:tcBorders>
            <w:shd w:val="clear" w:color="auto" w:fill="auto"/>
            <w:vAlign w:val="center"/>
            <w:hideMark/>
          </w:tcPr>
          <w:p w14:paraId="246878D6" w14:textId="77777777" w:rsidR="0060787D" w:rsidRPr="0060787D" w:rsidRDefault="0060787D" w:rsidP="0060787D">
            <w:pPr>
              <w:spacing w:after="0" w:line="240" w:lineRule="auto"/>
              <w:jc w:val="right"/>
              <w:rPr>
                <w:rFonts w:ascii="Arial" w:eastAsia="Times New Roman" w:hAnsi="Arial" w:cs="Arial"/>
                <w:lang w:eastAsia="en-GB"/>
              </w:rPr>
            </w:pPr>
            <w:r w:rsidRPr="0060787D">
              <w:rPr>
                <w:rFonts w:ascii="Arial" w:eastAsia="Times New Roman" w:hAnsi="Arial" w:cs="Arial"/>
                <w:lang w:eastAsia="en-GB"/>
              </w:rPr>
              <w:t>5,894</w:t>
            </w:r>
          </w:p>
        </w:tc>
        <w:tc>
          <w:tcPr>
            <w:tcW w:w="1583" w:type="dxa"/>
            <w:tcBorders>
              <w:top w:val="nil"/>
              <w:left w:val="nil"/>
              <w:bottom w:val="single" w:sz="4" w:space="0" w:color="auto"/>
              <w:right w:val="nil"/>
            </w:tcBorders>
            <w:shd w:val="clear" w:color="auto" w:fill="auto"/>
            <w:vAlign w:val="center"/>
            <w:hideMark/>
          </w:tcPr>
          <w:p w14:paraId="56F06289" w14:textId="77777777" w:rsidR="0060787D" w:rsidRPr="0060787D" w:rsidRDefault="0060787D" w:rsidP="0060787D">
            <w:pPr>
              <w:spacing w:after="0" w:line="240" w:lineRule="auto"/>
              <w:jc w:val="right"/>
              <w:rPr>
                <w:rFonts w:ascii="Arial" w:eastAsia="Times New Roman" w:hAnsi="Arial" w:cs="Arial"/>
                <w:lang w:eastAsia="en-GB"/>
              </w:rPr>
            </w:pPr>
            <w:r w:rsidRPr="0060787D">
              <w:rPr>
                <w:rFonts w:ascii="Arial" w:eastAsia="Times New Roman" w:hAnsi="Arial" w:cs="Arial"/>
                <w:lang w:eastAsia="en-GB"/>
              </w:rPr>
              <w:t>420</w:t>
            </w:r>
          </w:p>
        </w:tc>
        <w:tc>
          <w:tcPr>
            <w:tcW w:w="1583" w:type="dxa"/>
            <w:tcBorders>
              <w:top w:val="nil"/>
              <w:left w:val="nil"/>
              <w:bottom w:val="single" w:sz="4" w:space="0" w:color="auto"/>
              <w:right w:val="single" w:sz="4" w:space="0" w:color="auto"/>
            </w:tcBorders>
            <w:shd w:val="clear" w:color="auto" w:fill="auto"/>
            <w:vAlign w:val="center"/>
            <w:hideMark/>
          </w:tcPr>
          <w:p w14:paraId="5F0115D5" w14:textId="77777777" w:rsidR="0060787D" w:rsidRPr="0060787D" w:rsidRDefault="0060787D" w:rsidP="0060787D">
            <w:pPr>
              <w:spacing w:after="0" w:line="240" w:lineRule="auto"/>
              <w:jc w:val="right"/>
              <w:rPr>
                <w:rFonts w:ascii="Arial" w:eastAsia="Times New Roman" w:hAnsi="Arial" w:cs="Arial"/>
                <w:lang w:eastAsia="en-GB"/>
              </w:rPr>
            </w:pPr>
            <w:r w:rsidRPr="0060787D">
              <w:rPr>
                <w:rFonts w:ascii="Arial" w:eastAsia="Times New Roman" w:hAnsi="Arial" w:cs="Arial"/>
                <w:lang w:eastAsia="en-GB"/>
              </w:rPr>
              <w:t>36,942</w:t>
            </w:r>
          </w:p>
        </w:tc>
      </w:tr>
      <w:tr w:rsidR="003D01BC" w:rsidRPr="0060787D" w14:paraId="6E335E3D" w14:textId="77777777" w:rsidTr="005E1C71">
        <w:trPr>
          <w:trHeight w:val="450"/>
        </w:trPr>
        <w:tc>
          <w:tcPr>
            <w:tcW w:w="4673" w:type="dxa"/>
            <w:tcBorders>
              <w:top w:val="nil"/>
              <w:left w:val="single" w:sz="4" w:space="0" w:color="auto"/>
              <w:bottom w:val="single" w:sz="4" w:space="0" w:color="auto"/>
              <w:right w:val="nil"/>
            </w:tcBorders>
            <w:shd w:val="clear" w:color="auto" w:fill="auto"/>
            <w:vAlign w:val="center"/>
            <w:hideMark/>
          </w:tcPr>
          <w:p w14:paraId="31050C17" w14:textId="77777777" w:rsidR="0060787D" w:rsidRPr="0060787D" w:rsidRDefault="0060787D" w:rsidP="0060787D">
            <w:pPr>
              <w:spacing w:after="0" w:line="240" w:lineRule="auto"/>
              <w:rPr>
                <w:rFonts w:ascii="Arial" w:eastAsia="Times New Roman" w:hAnsi="Arial" w:cs="Arial"/>
                <w:lang w:eastAsia="en-GB"/>
              </w:rPr>
            </w:pPr>
            <w:r w:rsidRPr="0060787D">
              <w:rPr>
                <w:rFonts w:ascii="Arial" w:eastAsia="Times New Roman" w:hAnsi="Arial" w:cs="Arial"/>
                <w:lang w:eastAsia="en-GB"/>
              </w:rPr>
              <w:t>Surplus/(deficit)</w:t>
            </w:r>
          </w:p>
        </w:tc>
        <w:tc>
          <w:tcPr>
            <w:tcW w:w="1582" w:type="dxa"/>
            <w:tcBorders>
              <w:top w:val="nil"/>
              <w:left w:val="nil"/>
              <w:bottom w:val="single" w:sz="4" w:space="0" w:color="auto"/>
              <w:right w:val="nil"/>
            </w:tcBorders>
            <w:shd w:val="clear" w:color="auto" w:fill="auto"/>
            <w:vAlign w:val="center"/>
            <w:hideMark/>
          </w:tcPr>
          <w:p w14:paraId="29ADAC9E" w14:textId="77777777" w:rsidR="0060787D" w:rsidRPr="0060787D" w:rsidRDefault="0060787D" w:rsidP="0060787D">
            <w:pPr>
              <w:spacing w:after="0" w:line="240" w:lineRule="auto"/>
              <w:jc w:val="right"/>
              <w:rPr>
                <w:rFonts w:ascii="Arial" w:eastAsia="Times New Roman" w:hAnsi="Arial" w:cs="Arial"/>
                <w:lang w:eastAsia="en-GB"/>
              </w:rPr>
            </w:pPr>
            <w:r w:rsidRPr="0060787D">
              <w:rPr>
                <w:rFonts w:ascii="Arial" w:eastAsia="Times New Roman" w:hAnsi="Arial" w:cs="Arial"/>
                <w:color w:val="000000"/>
                <w:lang w:eastAsia="en-GB"/>
              </w:rPr>
              <w:t>(451)</w:t>
            </w:r>
          </w:p>
        </w:tc>
        <w:tc>
          <w:tcPr>
            <w:tcW w:w="1583" w:type="dxa"/>
            <w:tcBorders>
              <w:top w:val="nil"/>
              <w:left w:val="nil"/>
              <w:bottom w:val="single" w:sz="4" w:space="0" w:color="auto"/>
              <w:right w:val="nil"/>
            </w:tcBorders>
            <w:shd w:val="clear" w:color="auto" w:fill="auto"/>
            <w:vAlign w:val="center"/>
            <w:hideMark/>
          </w:tcPr>
          <w:p w14:paraId="06C3F036" w14:textId="77777777" w:rsidR="0060787D" w:rsidRPr="0060787D" w:rsidRDefault="0060787D" w:rsidP="0060787D">
            <w:pPr>
              <w:spacing w:after="0" w:line="240" w:lineRule="auto"/>
              <w:jc w:val="right"/>
              <w:rPr>
                <w:rFonts w:ascii="Arial" w:eastAsia="Times New Roman" w:hAnsi="Arial" w:cs="Arial"/>
                <w:lang w:eastAsia="en-GB"/>
              </w:rPr>
            </w:pPr>
            <w:r w:rsidRPr="0060787D">
              <w:rPr>
                <w:rFonts w:ascii="Arial" w:eastAsia="Times New Roman" w:hAnsi="Arial" w:cs="Arial"/>
                <w:lang w:eastAsia="en-GB"/>
              </w:rPr>
              <w:t>1,673</w:t>
            </w:r>
          </w:p>
        </w:tc>
        <w:tc>
          <w:tcPr>
            <w:tcW w:w="1583" w:type="dxa"/>
            <w:tcBorders>
              <w:top w:val="nil"/>
              <w:left w:val="nil"/>
              <w:bottom w:val="single" w:sz="4" w:space="0" w:color="auto"/>
              <w:right w:val="nil"/>
            </w:tcBorders>
            <w:shd w:val="clear" w:color="auto" w:fill="auto"/>
            <w:vAlign w:val="center"/>
            <w:hideMark/>
          </w:tcPr>
          <w:p w14:paraId="25E2EDAF" w14:textId="77777777" w:rsidR="0060787D" w:rsidRPr="0060787D" w:rsidRDefault="0060787D" w:rsidP="0060787D">
            <w:pPr>
              <w:spacing w:after="0" w:line="240" w:lineRule="auto"/>
              <w:jc w:val="right"/>
              <w:rPr>
                <w:rFonts w:ascii="Arial" w:eastAsia="Times New Roman" w:hAnsi="Arial" w:cs="Arial"/>
                <w:lang w:eastAsia="en-GB"/>
              </w:rPr>
            </w:pPr>
            <w:r w:rsidRPr="0060787D">
              <w:rPr>
                <w:rFonts w:ascii="Arial" w:eastAsia="Times New Roman" w:hAnsi="Arial" w:cs="Arial"/>
                <w:color w:val="000000"/>
                <w:lang w:eastAsia="en-GB"/>
              </w:rPr>
              <w:t>(3,935)</w:t>
            </w:r>
          </w:p>
        </w:tc>
        <w:tc>
          <w:tcPr>
            <w:tcW w:w="1583" w:type="dxa"/>
            <w:tcBorders>
              <w:top w:val="nil"/>
              <w:left w:val="nil"/>
              <w:bottom w:val="single" w:sz="4" w:space="0" w:color="auto"/>
              <w:right w:val="nil"/>
            </w:tcBorders>
            <w:shd w:val="clear" w:color="auto" w:fill="auto"/>
            <w:vAlign w:val="center"/>
            <w:hideMark/>
          </w:tcPr>
          <w:p w14:paraId="0DC5108B" w14:textId="77777777" w:rsidR="0060787D" w:rsidRPr="0060787D" w:rsidRDefault="0060787D" w:rsidP="0060787D">
            <w:pPr>
              <w:spacing w:after="0" w:line="240" w:lineRule="auto"/>
              <w:jc w:val="right"/>
              <w:rPr>
                <w:rFonts w:ascii="Arial" w:eastAsia="Times New Roman" w:hAnsi="Arial" w:cs="Arial"/>
                <w:lang w:eastAsia="en-GB"/>
              </w:rPr>
            </w:pPr>
            <w:r w:rsidRPr="0060787D">
              <w:rPr>
                <w:rFonts w:ascii="Arial" w:eastAsia="Times New Roman" w:hAnsi="Arial" w:cs="Arial"/>
                <w:lang w:eastAsia="en-GB"/>
              </w:rPr>
              <w:t>214</w:t>
            </w:r>
          </w:p>
        </w:tc>
        <w:tc>
          <w:tcPr>
            <w:tcW w:w="1583" w:type="dxa"/>
            <w:tcBorders>
              <w:top w:val="nil"/>
              <w:left w:val="nil"/>
              <w:bottom w:val="single" w:sz="4" w:space="0" w:color="auto"/>
              <w:right w:val="nil"/>
            </w:tcBorders>
            <w:shd w:val="clear" w:color="auto" w:fill="auto"/>
            <w:vAlign w:val="center"/>
            <w:hideMark/>
          </w:tcPr>
          <w:p w14:paraId="5C18604A" w14:textId="77777777" w:rsidR="0060787D" w:rsidRPr="0060787D" w:rsidRDefault="0060787D" w:rsidP="0060787D">
            <w:pPr>
              <w:spacing w:after="0" w:line="240" w:lineRule="auto"/>
              <w:jc w:val="right"/>
              <w:rPr>
                <w:rFonts w:ascii="Arial" w:eastAsia="Times New Roman" w:hAnsi="Arial" w:cs="Arial"/>
                <w:lang w:eastAsia="en-GB"/>
              </w:rPr>
            </w:pPr>
            <w:r w:rsidRPr="0060787D">
              <w:rPr>
                <w:rFonts w:ascii="Arial" w:eastAsia="Times New Roman" w:hAnsi="Arial" w:cs="Arial"/>
                <w:lang w:eastAsia="en-GB"/>
              </w:rPr>
              <w:t>1,051</w:t>
            </w:r>
          </w:p>
        </w:tc>
        <w:tc>
          <w:tcPr>
            <w:tcW w:w="1583" w:type="dxa"/>
            <w:tcBorders>
              <w:top w:val="nil"/>
              <w:left w:val="nil"/>
              <w:bottom w:val="single" w:sz="4" w:space="0" w:color="auto"/>
              <w:right w:val="single" w:sz="4" w:space="0" w:color="auto"/>
            </w:tcBorders>
            <w:shd w:val="clear" w:color="auto" w:fill="auto"/>
            <w:vAlign w:val="center"/>
            <w:hideMark/>
          </w:tcPr>
          <w:p w14:paraId="2E32CEC6" w14:textId="77777777" w:rsidR="0060787D" w:rsidRPr="0060787D" w:rsidRDefault="0060787D" w:rsidP="0060787D">
            <w:pPr>
              <w:spacing w:after="0" w:line="240" w:lineRule="auto"/>
              <w:jc w:val="right"/>
              <w:rPr>
                <w:rFonts w:ascii="Arial" w:eastAsia="Times New Roman" w:hAnsi="Arial" w:cs="Arial"/>
                <w:lang w:eastAsia="en-GB"/>
              </w:rPr>
            </w:pPr>
            <w:r w:rsidRPr="0060787D">
              <w:rPr>
                <w:rFonts w:ascii="Arial" w:eastAsia="Times New Roman" w:hAnsi="Arial" w:cs="Arial"/>
                <w:color w:val="000000"/>
                <w:lang w:eastAsia="en-GB"/>
              </w:rPr>
              <w:t>(1,448)</w:t>
            </w:r>
          </w:p>
        </w:tc>
      </w:tr>
      <w:tr w:rsidR="003D01BC" w:rsidRPr="0060787D" w14:paraId="735112CC" w14:textId="77777777" w:rsidTr="005E1C71">
        <w:trPr>
          <w:trHeight w:val="450"/>
        </w:trPr>
        <w:tc>
          <w:tcPr>
            <w:tcW w:w="4673" w:type="dxa"/>
            <w:tcBorders>
              <w:top w:val="nil"/>
              <w:left w:val="single" w:sz="4" w:space="0" w:color="auto"/>
              <w:bottom w:val="nil"/>
              <w:right w:val="nil"/>
            </w:tcBorders>
            <w:shd w:val="clear" w:color="auto" w:fill="auto"/>
            <w:vAlign w:val="center"/>
            <w:hideMark/>
          </w:tcPr>
          <w:p w14:paraId="43B341F8" w14:textId="77777777" w:rsidR="0060787D" w:rsidRPr="0060787D" w:rsidRDefault="0060787D" w:rsidP="0060787D">
            <w:pPr>
              <w:spacing w:after="0" w:line="240" w:lineRule="auto"/>
              <w:rPr>
                <w:rFonts w:ascii="Arial" w:eastAsia="Times New Roman" w:hAnsi="Arial" w:cs="Arial"/>
                <w:lang w:eastAsia="en-GB"/>
              </w:rPr>
            </w:pPr>
            <w:r w:rsidRPr="0060787D">
              <w:rPr>
                <w:rFonts w:ascii="Arial" w:eastAsia="Times New Roman" w:hAnsi="Arial" w:cs="Arial"/>
                <w:lang w:eastAsia="en-GB"/>
              </w:rPr>
              <w:t>Surplus/(deficit) as % of income</w:t>
            </w:r>
          </w:p>
        </w:tc>
        <w:tc>
          <w:tcPr>
            <w:tcW w:w="1582" w:type="dxa"/>
            <w:tcBorders>
              <w:top w:val="nil"/>
              <w:left w:val="nil"/>
              <w:bottom w:val="nil"/>
              <w:right w:val="nil"/>
            </w:tcBorders>
            <w:shd w:val="clear" w:color="auto" w:fill="auto"/>
            <w:vAlign w:val="center"/>
            <w:hideMark/>
          </w:tcPr>
          <w:p w14:paraId="4EF6B204" w14:textId="77777777" w:rsidR="0060787D" w:rsidRPr="0060787D" w:rsidRDefault="0060787D" w:rsidP="0060787D">
            <w:pPr>
              <w:spacing w:after="0" w:line="240" w:lineRule="auto"/>
              <w:jc w:val="right"/>
              <w:rPr>
                <w:rFonts w:ascii="Arial" w:eastAsia="Times New Roman" w:hAnsi="Arial" w:cs="Arial"/>
                <w:lang w:eastAsia="en-GB"/>
              </w:rPr>
            </w:pPr>
            <w:r w:rsidRPr="0060787D">
              <w:rPr>
                <w:rFonts w:ascii="Arial" w:eastAsia="Times New Roman" w:hAnsi="Arial" w:cs="Arial"/>
                <w:color w:val="000000"/>
                <w:lang w:eastAsia="en-GB"/>
              </w:rPr>
              <w:t>(</w:t>
            </w:r>
            <w:proofErr w:type="gramStart"/>
            <w:r w:rsidRPr="0060787D">
              <w:rPr>
                <w:rFonts w:ascii="Arial" w:eastAsia="Times New Roman" w:hAnsi="Arial" w:cs="Arial"/>
                <w:color w:val="000000"/>
                <w:lang w:eastAsia="en-GB"/>
              </w:rPr>
              <w:t>3.4)%</w:t>
            </w:r>
            <w:proofErr w:type="gramEnd"/>
          </w:p>
        </w:tc>
        <w:tc>
          <w:tcPr>
            <w:tcW w:w="1583" w:type="dxa"/>
            <w:tcBorders>
              <w:top w:val="nil"/>
              <w:left w:val="nil"/>
              <w:bottom w:val="nil"/>
              <w:right w:val="nil"/>
            </w:tcBorders>
            <w:shd w:val="clear" w:color="auto" w:fill="auto"/>
            <w:vAlign w:val="center"/>
            <w:hideMark/>
          </w:tcPr>
          <w:p w14:paraId="69182502" w14:textId="77777777" w:rsidR="0060787D" w:rsidRPr="0060787D" w:rsidRDefault="0060787D" w:rsidP="0060787D">
            <w:pPr>
              <w:spacing w:after="0" w:line="240" w:lineRule="auto"/>
              <w:jc w:val="right"/>
              <w:rPr>
                <w:rFonts w:ascii="Arial" w:eastAsia="Times New Roman" w:hAnsi="Arial" w:cs="Arial"/>
                <w:lang w:eastAsia="en-GB"/>
              </w:rPr>
            </w:pPr>
            <w:r w:rsidRPr="0060787D">
              <w:rPr>
                <w:rFonts w:ascii="Arial" w:eastAsia="Times New Roman" w:hAnsi="Arial" w:cs="Arial"/>
                <w:lang w:eastAsia="en-GB"/>
              </w:rPr>
              <w:t>30.2%</w:t>
            </w:r>
          </w:p>
        </w:tc>
        <w:tc>
          <w:tcPr>
            <w:tcW w:w="1583" w:type="dxa"/>
            <w:tcBorders>
              <w:top w:val="nil"/>
              <w:left w:val="nil"/>
              <w:bottom w:val="nil"/>
              <w:right w:val="nil"/>
            </w:tcBorders>
            <w:shd w:val="clear" w:color="auto" w:fill="auto"/>
            <w:vAlign w:val="center"/>
            <w:hideMark/>
          </w:tcPr>
          <w:p w14:paraId="5E50AA99" w14:textId="77777777" w:rsidR="0060787D" w:rsidRPr="0060787D" w:rsidRDefault="0060787D" w:rsidP="0060787D">
            <w:pPr>
              <w:spacing w:after="0" w:line="240" w:lineRule="auto"/>
              <w:jc w:val="right"/>
              <w:rPr>
                <w:rFonts w:ascii="Arial" w:eastAsia="Times New Roman" w:hAnsi="Arial" w:cs="Arial"/>
                <w:lang w:eastAsia="en-GB"/>
              </w:rPr>
            </w:pPr>
            <w:r w:rsidRPr="0060787D">
              <w:rPr>
                <w:rFonts w:ascii="Arial" w:eastAsia="Times New Roman" w:hAnsi="Arial" w:cs="Arial"/>
                <w:color w:val="000000"/>
                <w:lang w:eastAsia="en-GB"/>
              </w:rPr>
              <w:t>(</w:t>
            </w:r>
            <w:proofErr w:type="gramStart"/>
            <w:r w:rsidRPr="0060787D">
              <w:rPr>
                <w:rFonts w:ascii="Arial" w:eastAsia="Times New Roman" w:hAnsi="Arial" w:cs="Arial"/>
                <w:color w:val="000000"/>
                <w:lang w:eastAsia="en-GB"/>
              </w:rPr>
              <w:t>44.0)%</w:t>
            </w:r>
            <w:proofErr w:type="gramEnd"/>
          </w:p>
        </w:tc>
        <w:tc>
          <w:tcPr>
            <w:tcW w:w="1583" w:type="dxa"/>
            <w:tcBorders>
              <w:top w:val="nil"/>
              <w:left w:val="nil"/>
              <w:bottom w:val="nil"/>
              <w:right w:val="nil"/>
            </w:tcBorders>
            <w:shd w:val="clear" w:color="auto" w:fill="auto"/>
            <w:vAlign w:val="center"/>
            <w:hideMark/>
          </w:tcPr>
          <w:p w14:paraId="57AD867F" w14:textId="77777777" w:rsidR="0060787D" w:rsidRPr="0060787D" w:rsidRDefault="0060787D" w:rsidP="0060787D">
            <w:pPr>
              <w:spacing w:after="0" w:line="240" w:lineRule="auto"/>
              <w:jc w:val="right"/>
              <w:rPr>
                <w:rFonts w:ascii="Arial" w:eastAsia="Times New Roman" w:hAnsi="Arial" w:cs="Arial"/>
                <w:lang w:eastAsia="en-GB"/>
              </w:rPr>
            </w:pPr>
            <w:r w:rsidRPr="0060787D">
              <w:rPr>
                <w:rFonts w:ascii="Arial" w:eastAsia="Times New Roman" w:hAnsi="Arial" w:cs="Arial"/>
                <w:lang w:eastAsia="en-GB"/>
              </w:rPr>
              <w:t>3.5%</w:t>
            </w:r>
          </w:p>
        </w:tc>
        <w:tc>
          <w:tcPr>
            <w:tcW w:w="1583" w:type="dxa"/>
            <w:tcBorders>
              <w:top w:val="nil"/>
              <w:left w:val="nil"/>
              <w:bottom w:val="nil"/>
              <w:right w:val="nil"/>
            </w:tcBorders>
            <w:shd w:val="clear" w:color="auto" w:fill="auto"/>
            <w:vAlign w:val="center"/>
            <w:hideMark/>
          </w:tcPr>
          <w:p w14:paraId="370DAAF3" w14:textId="77777777" w:rsidR="0060787D" w:rsidRPr="0060787D" w:rsidRDefault="0060787D" w:rsidP="0060787D">
            <w:pPr>
              <w:spacing w:after="0" w:line="240" w:lineRule="auto"/>
              <w:jc w:val="right"/>
              <w:rPr>
                <w:rFonts w:ascii="Arial" w:eastAsia="Times New Roman" w:hAnsi="Arial" w:cs="Arial"/>
                <w:lang w:eastAsia="en-GB"/>
              </w:rPr>
            </w:pPr>
            <w:r w:rsidRPr="0060787D">
              <w:rPr>
                <w:rFonts w:ascii="Arial" w:eastAsia="Times New Roman" w:hAnsi="Arial" w:cs="Arial"/>
                <w:lang w:eastAsia="en-GB"/>
              </w:rPr>
              <w:t>71.5%</w:t>
            </w:r>
          </w:p>
        </w:tc>
        <w:tc>
          <w:tcPr>
            <w:tcW w:w="1583" w:type="dxa"/>
            <w:tcBorders>
              <w:top w:val="nil"/>
              <w:left w:val="nil"/>
              <w:bottom w:val="nil"/>
              <w:right w:val="single" w:sz="4" w:space="0" w:color="auto"/>
            </w:tcBorders>
            <w:shd w:val="clear" w:color="auto" w:fill="auto"/>
            <w:vAlign w:val="center"/>
            <w:hideMark/>
          </w:tcPr>
          <w:p w14:paraId="22640CF0" w14:textId="77777777" w:rsidR="0060787D" w:rsidRPr="0060787D" w:rsidRDefault="0060787D" w:rsidP="0060787D">
            <w:pPr>
              <w:spacing w:after="0" w:line="240" w:lineRule="auto"/>
              <w:jc w:val="right"/>
              <w:rPr>
                <w:rFonts w:ascii="Arial" w:eastAsia="Times New Roman" w:hAnsi="Arial" w:cs="Arial"/>
                <w:lang w:eastAsia="en-GB"/>
              </w:rPr>
            </w:pPr>
            <w:r w:rsidRPr="0060787D">
              <w:rPr>
                <w:rFonts w:ascii="Arial" w:eastAsia="Times New Roman" w:hAnsi="Arial" w:cs="Arial"/>
                <w:color w:val="000000"/>
                <w:lang w:eastAsia="en-GB"/>
              </w:rPr>
              <w:t>(</w:t>
            </w:r>
            <w:proofErr w:type="gramStart"/>
            <w:r w:rsidRPr="0060787D">
              <w:rPr>
                <w:rFonts w:ascii="Arial" w:eastAsia="Times New Roman" w:hAnsi="Arial" w:cs="Arial"/>
                <w:color w:val="000000"/>
                <w:lang w:eastAsia="en-GB"/>
              </w:rPr>
              <w:t>4.1)%</w:t>
            </w:r>
            <w:proofErr w:type="gramEnd"/>
          </w:p>
        </w:tc>
      </w:tr>
      <w:tr w:rsidR="003D01BC" w:rsidRPr="0060787D" w14:paraId="26CF20CB" w14:textId="77777777" w:rsidTr="005E1C71">
        <w:trPr>
          <w:trHeight w:val="450"/>
        </w:trPr>
        <w:tc>
          <w:tcPr>
            <w:tcW w:w="4673" w:type="dxa"/>
            <w:tcBorders>
              <w:top w:val="nil"/>
              <w:left w:val="single" w:sz="4" w:space="0" w:color="auto"/>
              <w:bottom w:val="nil"/>
              <w:right w:val="nil"/>
            </w:tcBorders>
            <w:shd w:val="clear" w:color="auto" w:fill="auto"/>
            <w:vAlign w:val="center"/>
            <w:hideMark/>
          </w:tcPr>
          <w:p w14:paraId="084B247C" w14:textId="77777777" w:rsidR="0060787D" w:rsidRPr="0060787D" w:rsidRDefault="0060787D" w:rsidP="0060787D">
            <w:pPr>
              <w:spacing w:after="0" w:line="240" w:lineRule="auto"/>
              <w:rPr>
                <w:rFonts w:ascii="Arial" w:eastAsia="Times New Roman" w:hAnsi="Arial" w:cs="Arial"/>
                <w:b/>
                <w:bCs/>
                <w:lang w:eastAsia="en-GB"/>
              </w:rPr>
            </w:pPr>
            <w:r w:rsidRPr="0060787D">
              <w:rPr>
                <w:rFonts w:ascii="Arial" w:eastAsia="Times New Roman" w:hAnsi="Arial" w:cs="Arial"/>
                <w:b/>
                <w:bCs/>
                <w:lang w:eastAsia="en-GB"/>
              </w:rPr>
              <w:t>Recovery of full economic costs %</w:t>
            </w:r>
          </w:p>
        </w:tc>
        <w:tc>
          <w:tcPr>
            <w:tcW w:w="1582" w:type="dxa"/>
            <w:tcBorders>
              <w:top w:val="nil"/>
              <w:left w:val="nil"/>
              <w:bottom w:val="nil"/>
              <w:right w:val="nil"/>
            </w:tcBorders>
            <w:shd w:val="clear" w:color="auto" w:fill="auto"/>
            <w:vAlign w:val="center"/>
            <w:hideMark/>
          </w:tcPr>
          <w:p w14:paraId="45C34CA3" w14:textId="77777777" w:rsidR="0060787D" w:rsidRPr="0060787D" w:rsidRDefault="0060787D" w:rsidP="0060787D">
            <w:pPr>
              <w:spacing w:after="0" w:line="240" w:lineRule="auto"/>
              <w:jc w:val="right"/>
              <w:rPr>
                <w:rFonts w:ascii="Arial" w:eastAsia="Times New Roman" w:hAnsi="Arial" w:cs="Arial"/>
                <w:b/>
                <w:bCs/>
                <w:lang w:eastAsia="en-GB"/>
              </w:rPr>
            </w:pPr>
            <w:r w:rsidRPr="0060787D">
              <w:rPr>
                <w:rFonts w:ascii="Arial" w:eastAsia="Times New Roman" w:hAnsi="Arial" w:cs="Arial"/>
                <w:b/>
                <w:bCs/>
                <w:lang w:eastAsia="en-GB"/>
              </w:rPr>
              <w:t>96.7%</w:t>
            </w:r>
          </w:p>
        </w:tc>
        <w:tc>
          <w:tcPr>
            <w:tcW w:w="1583" w:type="dxa"/>
            <w:tcBorders>
              <w:top w:val="nil"/>
              <w:left w:val="nil"/>
              <w:bottom w:val="nil"/>
              <w:right w:val="nil"/>
            </w:tcBorders>
            <w:shd w:val="clear" w:color="auto" w:fill="auto"/>
            <w:vAlign w:val="center"/>
            <w:hideMark/>
          </w:tcPr>
          <w:p w14:paraId="705FEDC4" w14:textId="77777777" w:rsidR="0060787D" w:rsidRPr="0060787D" w:rsidRDefault="0060787D" w:rsidP="0060787D">
            <w:pPr>
              <w:spacing w:after="0" w:line="240" w:lineRule="auto"/>
              <w:jc w:val="right"/>
              <w:rPr>
                <w:rFonts w:ascii="Arial" w:eastAsia="Times New Roman" w:hAnsi="Arial" w:cs="Arial"/>
                <w:b/>
                <w:bCs/>
                <w:lang w:eastAsia="en-GB"/>
              </w:rPr>
            </w:pPr>
            <w:r w:rsidRPr="0060787D">
              <w:rPr>
                <w:rFonts w:ascii="Arial" w:eastAsia="Times New Roman" w:hAnsi="Arial" w:cs="Arial"/>
                <w:b/>
                <w:bCs/>
                <w:lang w:eastAsia="en-GB"/>
              </w:rPr>
              <w:t>143.2%</w:t>
            </w:r>
          </w:p>
        </w:tc>
        <w:tc>
          <w:tcPr>
            <w:tcW w:w="1583" w:type="dxa"/>
            <w:tcBorders>
              <w:top w:val="nil"/>
              <w:left w:val="nil"/>
              <w:bottom w:val="nil"/>
              <w:right w:val="nil"/>
            </w:tcBorders>
            <w:shd w:val="clear" w:color="auto" w:fill="auto"/>
            <w:vAlign w:val="center"/>
            <w:hideMark/>
          </w:tcPr>
          <w:p w14:paraId="2B316F44" w14:textId="77777777" w:rsidR="0060787D" w:rsidRPr="0060787D" w:rsidRDefault="0060787D" w:rsidP="0060787D">
            <w:pPr>
              <w:spacing w:after="0" w:line="240" w:lineRule="auto"/>
              <w:jc w:val="right"/>
              <w:rPr>
                <w:rFonts w:ascii="Arial" w:eastAsia="Times New Roman" w:hAnsi="Arial" w:cs="Arial"/>
                <w:b/>
                <w:bCs/>
                <w:lang w:eastAsia="en-GB"/>
              </w:rPr>
            </w:pPr>
            <w:r w:rsidRPr="0060787D">
              <w:rPr>
                <w:rFonts w:ascii="Arial" w:eastAsia="Times New Roman" w:hAnsi="Arial" w:cs="Arial"/>
                <w:b/>
                <w:bCs/>
                <w:lang w:eastAsia="en-GB"/>
              </w:rPr>
              <w:t>69.5%</w:t>
            </w:r>
          </w:p>
        </w:tc>
        <w:tc>
          <w:tcPr>
            <w:tcW w:w="1583" w:type="dxa"/>
            <w:tcBorders>
              <w:top w:val="nil"/>
              <w:left w:val="nil"/>
              <w:bottom w:val="nil"/>
              <w:right w:val="nil"/>
            </w:tcBorders>
            <w:shd w:val="clear" w:color="auto" w:fill="auto"/>
            <w:vAlign w:val="center"/>
            <w:hideMark/>
          </w:tcPr>
          <w:p w14:paraId="22864F4F" w14:textId="77777777" w:rsidR="0060787D" w:rsidRPr="0060787D" w:rsidRDefault="0060787D" w:rsidP="0060787D">
            <w:pPr>
              <w:spacing w:after="0" w:line="240" w:lineRule="auto"/>
              <w:jc w:val="right"/>
              <w:rPr>
                <w:rFonts w:ascii="Arial" w:eastAsia="Times New Roman" w:hAnsi="Arial" w:cs="Arial"/>
                <w:b/>
                <w:bCs/>
                <w:lang w:eastAsia="en-GB"/>
              </w:rPr>
            </w:pPr>
            <w:r w:rsidRPr="0060787D">
              <w:rPr>
                <w:rFonts w:ascii="Arial" w:eastAsia="Times New Roman" w:hAnsi="Arial" w:cs="Arial"/>
                <w:b/>
                <w:bCs/>
                <w:lang w:eastAsia="en-GB"/>
              </w:rPr>
              <w:t>103.6%</w:t>
            </w:r>
          </w:p>
        </w:tc>
        <w:tc>
          <w:tcPr>
            <w:tcW w:w="1583" w:type="dxa"/>
            <w:tcBorders>
              <w:top w:val="nil"/>
              <w:left w:val="nil"/>
              <w:bottom w:val="nil"/>
              <w:right w:val="nil"/>
            </w:tcBorders>
            <w:shd w:val="clear" w:color="auto" w:fill="auto"/>
            <w:vAlign w:val="center"/>
            <w:hideMark/>
          </w:tcPr>
          <w:p w14:paraId="159D47BE" w14:textId="77777777" w:rsidR="0060787D" w:rsidRPr="0060787D" w:rsidRDefault="0060787D" w:rsidP="0060787D">
            <w:pPr>
              <w:spacing w:after="0" w:line="240" w:lineRule="auto"/>
              <w:jc w:val="right"/>
              <w:rPr>
                <w:rFonts w:ascii="Arial" w:eastAsia="Times New Roman" w:hAnsi="Arial" w:cs="Arial"/>
                <w:b/>
                <w:bCs/>
                <w:lang w:eastAsia="en-GB"/>
              </w:rPr>
            </w:pPr>
            <w:r w:rsidRPr="0060787D">
              <w:rPr>
                <w:rFonts w:ascii="Arial" w:eastAsia="Times New Roman" w:hAnsi="Arial" w:cs="Arial"/>
                <w:b/>
                <w:bCs/>
                <w:lang w:eastAsia="en-GB"/>
              </w:rPr>
              <w:t>350.5%</w:t>
            </w:r>
          </w:p>
        </w:tc>
        <w:tc>
          <w:tcPr>
            <w:tcW w:w="1583" w:type="dxa"/>
            <w:tcBorders>
              <w:top w:val="nil"/>
              <w:left w:val="nil"/>
              <w:bottom w:val="nil"/>
              <w:right w:val="single" w:sz="4" w:space="0" w:color="auto"/>
            </w:tcBorders>
            <w:shd w:val="clear" w:color="auto" w:fill="auto"/>
            <w:vAlign w:val="center"/>
            <w:hideMark/>
          </w:tcPr>
          <w:p w14:paraId="4DD606C9" w14:textId="77777777" w:rsidR="0060787D" w:rsidRPr="0060787D" w:rsidRDefault="0060787D" w:rsidP="0060787D">
            <w:pPr>
              <w:spacing w:after="0" w:line="240" w:lineRule="auto"/>
              <w:jc w:val="right"/>
              <w:rPr>
                <w:rFonts w:ascii="Arial" w:eastAsia="Times New Roman" w:hAnsi="Arial" w:cs="Arial"/>
                <w:b/>
                <w:bCs/>
                <w:lang w:eastAsia="en-GB"/>
              </w:rPr>
            </w:pPr>
            <w:r w:rsidRPr="0060787D">
              <w:rPr>
                <w:rFonts w:ascii="Arial" w:eastAsia="Times New Roman" w:hAnsi="Arial" w:cs="Arial"/>
                <w:b/>
                <w:bCs/>
                <w:lang w:eastAsia="en-GB"/>
              </w:rPr>
              <w:t>96.1%</w:t>
            </w:r>
          </w:p>
        </w:tc>
      </w:tr>
      <w:tr w:rsidR="003D01BC" w:rsidRPr="0060787D" w14:paraId="7E79890C" w14:textId="77777777" w:rsidTr="005E1C71">
        <w:trPr>
          <w:trHeight w:val="450"/>
        </w:trPr>
        <w:tc>
          <w:tcPr>
            <w:tcW w:w="4673" w:type="dxa"/>
            <w:tcBorders>
              <w:top w:val="nil"/>
              <w:left w:val="single" w:sz="4" w:space="0" w:color="auto"/>
              <w:bottom w:val="single" w:sz="4" w:space="0" w:color="auto"/>
              <w:right w:val="nil"/>
            </w:tcBorders>
            <w:shd w:val="clear" w:color="auto" w:fill="auto"/>
            <w:vAlign w:val="center"/>
            <w:hideMark/>
          </w:tcPr>
          <w:p w14:paraId="7329C211" w14:textId="77777777" w:rsidR="0060787D" w:rsidRPr="0060787D" w:rsidRDefault="0060787D" w:rsidP="0060787D">
            <w:pPr>
              <w:spacing w:after="0" w:line="240" w:lineRule="auto"/>
              <w:rPr>
                <w:rFonts w:ascii="Arial" w:eastAsia="Times New Roman" w:hAnsi="Arial" w:cs="Arial"/>
                <w:lang w:eastAsia="en-GB"/>
              </w:rPr>
            </w:pPr>
            <w:r w:rsidRPr="0060787D">
              <w:rPr>
                <w:rFonts w:ascii="Arial" w:eastAsia="Times New Roman" w:hAnsi="Arial" w:cs="Arial"/>
                <w:lang w:eastAsia="en-GB"/>
              </w:rPr>
              <w:t>Recovery of full economic costs % (2017-18)</w:t>
            </w:r>
          </w:p>
        </w:tc>
        <w:tc>
          <w:tcPr>
            <w:tcW w:w="1582" w:type="dxa"/>
            <w:tcBorders>
              <w:top w:val="nil"/>
              <w:left w:val="nil"/>
              <w:bottom w:val="single" w:sz="4" w:space="0" w:color="auto"/>
              <w:right w:val="nil"/>
            </w:tcBorders>
            <w:shd w:val="clear" w:color="auto" w:fill="auto"/>
            <w:vAlign w:val="center"/>
            <w:hideMark/>
          </w:tcPr>
          <w:p w14:paraId="2406FA77" w14:textId="77777777" w:rsidR="0060787D" w:rsidRPr="0060787D" w:rsidRDefault="0060787D" w:rsidP="0060787D">
            <w:pPr>
              <w:spacing w:after="0" w:line="240" w:lineRule="auto"/>
              <w:jc w:val="right"/>
              <w:rPr>
                <w:rFonts w:ascii="Arial" w:eastAsia="Times New Roman" w:hAnsi="Arial" w:cs="Arial"/>
                <w:lang w:eastAsia="en-GB"/>
              </w:rPr>
            </w:pPr>
            <w:r w:rsidRPr="0060787D">
              <w:rPr>
                <w:rFonts w:ascii="Arial" w:eastAsia="Times New Roman" w:hAnsi="Arial" w:cs="Arial"/>
                <w:lang w:eastAsia="en-GB"/>
              </w:rPr>
              <w:t>98.3%</w:t>
            </w:r>
          </w:p>
        </w:tc>
        <w:tc>
          <w:tcPr>
            <w:tcW w:w="1583" w:type="dxa"/>
            <w:tcBorders>
              <w:top w:val="nil"/>
              <w:left w:val="nil"/>
              <w:bottom w:val="single" w:sz="4" w:space="0" w:color="auto"/>
              <w:right w:val="nil"/>
            </w:tcBorders>
            <w:shd w:val="clear" w:color="auto" w:fill="auto"/>
            <w:vAlign w:val="center"/>
            <w:hideMark/>
          </w:tcPr>
          <w:p w14:paraId="3AC37D79" w14:textId="77777777" w:rsidR="0060787D" w:rsidRPr="0060787D" w:rsidRDefault="0060787D" w:rsidP="0060787D">
            <w:pPr>
              <w:spacing w:after="0" w:line="240" w:lineRule="auto"/>
              <w:jc w:val="right"/>
              <w:rPr>
                <w:rFonts w:ascii="Arial" w:eastAsia="Times New Roman" w:hAnsi="Arial" w:cs="Arial"/>
                <w:lang w:eastAsia="en-GB"/>
              </w:rPr>
            </w:pPr>
            <w:r w:rsidRPr="0060787D">
              <w:rPr>
                <w:rFonts w:ascii="Arial" w:eastAsia="Times New Roman" w:hAnsi="Arial" w:cs="Arial"/>
                <w:lang w:eastAsia="en-GB"/>
              </w:rPr>
              <w:t>139.3%</w:t>
            </w:r>
          </w:p>
        </w:tc>
        <w:tc>
          <w:tcPr>
            <w:tcW w:w="1583" w:type="dxa"/>
            <w:tcBorders>
              <w:top w:val="nil"/>
              <w:left w:val="nil"/>
              <w:bottom w:val="single" w:sz="4" w:space="0" w:color="auto"/>
              <w:right w:val="nil"/>
            </w:tcBorders>
            <w:shd w:val="clear" w:color="auto" w:fill="auto"/>
            <w:vAlign w:val="center"/>
            <w:hideMark/>
          </w:tcPr>
          <w:p w14:paraId="78B1676A" w14:textId="77777777" w:rsidR="0060787D" w:rsidRPr="0060787D" w:rsidRDefault="0060787D" w:rsidP="0060787D">
            <w:pPr>
              <w:spacing w:after="0" w:line="240" w:lineRule="auto"/>
              <w:jc w:val="right"/>
              <w:rPr>
                <w:rFonts w:ascii="Arial" w:eastAsia="Times New Roman" w:hAnsi="Arial" w:cs="Arial"/>
                <w:lang w:eastAsia="en-GB"/>
              </w:rPr>
            </w:pPr>
            <w:r w:rsidRPr="0060787D">
              <w:rPr>
                <w:rFonts w:ascii="Arial" w:eastAsia="Times New Roman" w:hAnsi="Arial" w:cs="Arial"/>
                <w:lang w:eastAsia="en-GB"/>
              </w:rPr>
              <w:t>69.4%</w:t>
            </w:r>
          </w:p>
        </w:tc>
        <w:tc>
          <w:tcPr>
            <w:tcW w:w="1583" w:type="dxa"/>
            <w:tcBorders>
              <w:top w:val="nil"/>
              <w:left w:val="nil"/>
              <w:bottom w:val="single" w:sz="4" w:space="0" w:color="auto"/>
              <w:right w:val="nil"/>
            </w:tcBorders>
            <w:shd w:val="clear" w:color="auto" w:fill="auto"/>
            <w:vAlign w:val="center"/>
            <w:hideMark/>
          </w:tcPr>
          <w:p w14:paraId="48D95341" w14:textId="77777777" w:rsidR="0060787D" w:rsidRPr="0060787D" w:rsidRDefault="0060787D" w:rsidP="0060787D">
            <w:pPr>
              <w:spacing w:after="0" w:line="240" w:lineRule="auto"/>
              <w:jc w:val="right"/>
              <w:rPr>
                <w:rFonts w:ascii="Arial" w:eastAsia="Times New Roman" w:hAnsi="Arial" w:cs="Arial"/>
                <w:lang w:eastAsia="en-GB"/>
              </w:rPr>
            </w:pPr>
            <w:r w:rsidRPr="0060787D">
              <w:rPr>
                <w:rFonts w:ascii="Arial" w:eastAsia="Times New Roman" w:hAnsi="Arial" w:cs="Arial"/>
                <w:lang w:eastAsia="en-GB"/>
              </w:rPr>
              <w:t>103.7%</w:t>
            </w:r>
          </w:p>
        </w:tc>
        <w:tc>
          <w:tcPr>
            <w:tcW w:w="1583" w:type="dxa"/>
            <w:tcBorders>
              <w:top w:val="nil"/>
              <w:left w:val="nil"/>
              <w:bottom w:val="single" w:sz="4" w:space="0" w:color="auto"/>
              <w:right w:val="nil"/>
            </w:tcBorders>
            <w:shd w:val="clear" w:color="auto" w:fill="auto"/>
            <w:vAlign w:val="center"/>
            <w:hideMark/>
          </w:tcPr>
          <w:p w14:paraId="545BC74B" w14:textId="77777777" w:rsidR="0060787D" w:rsidRPr="0060787D" w:rsidRDefault="0060787D" w:rsidP="0060787D">
            <w:pPr>
              <w:spacing w:after="0" w:line="240" w:lineRule="auto"/>
              <w:jc w:val="right"/>
              <w:rPr>
                <w:rFonts w:ascii="Arial" w:eastAsia="Times New Roman" w:hAnsi="Arial" w:cs="Arial"/>
                <w:lang w:eastAsia="en-GB"/>
              </w:rPr>
            </w:pPr>
            <w:r w:rsidRPr="0060787D">
              <w:rPr>
                <w:rFonts w:ascii="Arial" w:eastAsia="Times New Roman" w:hAnsi="Arial" w:cs="Arial"/>
                <w:lang w:eastAsia="en-GB"/>
              </w:rPr>
              <w:t>357.6%</w:t>
            </w:r>
          </w:p>
        </w:tc>
        <w:tc>
          <w:tcPr>
            <w:tcW w:w="1583" w:type="dxa"/>
            <w:tcBorders>
              <w:top w:val="nil"/>
              <w:left w:val="nil"/>
              <w:bottom w:val="single" w:sz="4" w:space="0" w:color="auto"/>
              <w:right w:val="single" w:sz="4" w:space="0" w:color="auto"/>
            </w:tcBorders>
            <w:shd w:val="clear" w:color="auto" w:fill="auto"/>
            <w:vAlign w:val="center"/>
            <w:hideMark/>
          </w:tcPr>
          <w:p w14:paraId="5FF96A8D" w14:textId="77777777" w:rsidR="0060787D" w:rsidRPr="0060787D" w:rsidRDefault="0060787D" w:rsidP="0060787D">
            <w:pPr>
              <w:spacing w:after="0" w:line="240" w:lineRule="auto"/>
              <w:jc w:val="right"/>
              <w:rPr>
                <w:rFonts w:ascii="Arial" w:eastAsia="Times New Roman" w:hAnsi="Arial" w:cs="Arial"/>
                <w:lang w:eastAsia="en-GB"/>
              </w:rPr>
            </w:pPr>
            <w:r w:rsidRPr="0060787D">
              <w:rPr>
                <w:rFonts w:ascii="Arial" w:eastAsia="Times New Roman" w:hAnsi="Arial" w:cs="Arial"/>
                <w:lang w:eastAsia="en-GB"/>
              </w:rPr>
              <w:t>95.9%</w:t>
            </w:r>
          </w:p>
        </w:tc>
      </w:tr>
      <w:tr w:rsidR="003D01BC" w:rsidRPr="0060787D" w14:paraId="14C12287" w14:textId="77777777" w:rsidTr="005E1C71">
        <w:trPr>
          <w:trHeight w:val="340"/>
        </w:trPr>
        <w:tc>
          <w:tcPr>
            <w:tcW w:w="4673" w:type="dxa"/>
            <w:tcBorders>
              <w:top w:val="nil"/>
              <w:left w:val="single" w:sz="4" w:space="0" w:color="auto"/>
              <w:bottom w:val="nil"/>
              <w:right w:val="nil"/>
            </w:tcBorders>
            <w:shd w:val="clear" w:color="auto" w:fill="auto"/>
            <w:vAlign w:val="center"/>
            <w:hideMark/>
          </w:tcPr>
          <w:p w14:paraId="178B8BCC" w14:textId="77777777" w:rsidR="0060787D" w:rsidRPr="0060787D" w:rsidRDefault="0060787D" w:rsidP="0060787D">
            <w:pPr>
              <w:spacing w:after="0" w:line="240" w:lineRule="auto"/>
              <w:rPr>
                <w:rFonts w:ascii="Arial" w:eastAsia="Times New Roman" w:hAnsi="Arial" w:cs="Arial"/>
                <w:b/>
                <w:bCs/>
                <w:lang w:eastAsia="en-GB"/>
              </w:rPr>
            </w:pPr>
            <w:r w:rsidRPr="0060787D">
              <w:rPr>
                <w:rFonts w:ascii="Arial" w:eastAsia="Times New Roman" w:hAnsi="Arial" w:cs="Arial"/>
                <w:b/>
                <w:bCs/>
                <w:lang w:eastAsia="en-GB"/>
              </w:rPr>
              <w:t>Included in income</w:t>
            </w:r>
          </w:p>
        </w:tc>
        <w:tc>
          <w:tcPr>
            <w:tcW w:w="1582" w:type="dxa"/>
            <w:tcBorders>
              <w:top w:val="nil"/>
              <w:left w:val="nil"/>
              <w:bottom w:val="nil"/>
              <w:right w:val="nil"/>
            </w:tcBorders>
            <w:shd w:val="clear" w:color="auto" w:fill="auto"/>
            <w:vAlign w:val="center"/>
            <w:hideMark/>
          </w:tcPr>
          <w:p w14:paraId="5F7EBD17" w14:textId="77777777" w:rsidR="0060787D" w:rsidRPr="0060787D" w:rsidRDefault="0060787D" w:rsidP="0060787D">
            <w:pPr>
              <w:spacing w:after="0" w:line="240" w:lineRule="auto"/>
              <w:rPr>
                <w:rFonts w:ascii="Arial" w:eastAsia="Times New Roman" w:hAnsi="Arial" w:cs="Arial"/>
                <w:b/>
                <w:bCs/>
                <w:lang w:eastAsia="en-GB"/>
              </w:rPr>
            </w:pPr>
          </w:p>
        </w:tc>
        <w:tc>
          <w:tcPr>
            <w:tcW w:w="1583" w:type="dxa"/>
            <w:tcBorders>
              <w:top w:val="nil"/>
              <w:left w:val="nil"/>
              <w:bottom w:val="nil"/>
              <w:right w:val="nil"/>
            </w:tcBorders>
            <w:shd w:val="clear" w:color="auto" w:fill="auto"/>
            <w:vAlign w:val="center"/>
            <w:hideMark/>
          </w:tcPr>
          <w:p w14:paraId="1C290D19" w14:textId="77777777" w:rsidR="0060787D" w:rsidRPr="0060787D" w:rsidRDefault="0060787D" w:rsidP="0060787D">
            <w:pPr>
              <w:spacing w:after="0" w:line="240" w:lineRule="auto"/>
              <w:jc w:val="right"/>
              <w:rPr>
                <w:rFonts w:ascii="Times New Roman" w:eastAsia="Times New Roman" w:hAnsi="Times New Roman" w:cs="Times New Roman"/>
                <w:sz w:val="20"/>
                <w:szCs w:val="20"/>
                <w:lang w:eastAsia="en-GB"/>
              </w:rPr>
            </w:pPr>
          </w:p>
        </w:tc>
        <w:tc>
          <w:tcPr>
            <w:tcW w:w="1583" w:type="dxa"/>
            <w:tcBorders>
              <w:top w:val="nil"/>
              <w:left w:val="nil"/>
              <w:bottom w:val="nil"/>
              <w:right w:val="nil"/>
            </w:tcBorders>
            <w:shd w:val="clear" w:color="auto" w:fill="auto"/>
            <w:vAlign w:val="center"/>
            <w:hideMark/>
          </w:tcPr>
          <w:p w14:paraId="6DE84794" w14:textId="77777777" w:rsidR="0060787D" w:rsidRPr="0060787D" w:rsidRDefault="0060787D" w:rsidP="0060787D">
            <w:pPr>
              <w:spacing w:after="0" w:line="240" w:lineRule="auto"/>
              <w:jc w:val="right"/>
              <w:rPr>
                <w:rFonts w:ascii="Times New Roman" w:eastAsia="Times New Roman" w:hAnsi="Times New Roman" w:cs="Times New Roman"/>
                <w:sz w:val="20"/>
                <w:szCs w:val="20"/>
                <w:lang w:eastAsia="en-GB"/>
              </w:rPr>
            </w:pPr>
          </w:p>
        </w:tc>
        <w:tc>
          <w:tcPr>
            <w:tcW w:w="1583" w:type="dxa"/>
            <w:tcBorders>
              <w:top w:val="nil"/>
              <w:left w:val="nil"/>
              <w:bottom w:val="nil"/>
              <w:right w:val="nil"/>
            </w:tcBorders>
            <w:shd w:val="clear" w:color="auto" w:fill="auto"/>
            <w:vAlign w:val="center"/>
            <w:hideMark/>
          </w:tcPr>
          <w:p w14:paraId="030EEE42" w14:textId="77777777" w:rsidR="0060787D" w:rsidRPr="0060787D" w:rsidRDefault="0060787D" w:rsidP="0060787D">
            <w:pPr>
              <w:spacing w:after="0" w:line="240" w:lineRule="auto"/>
              <w:jc w:val="right"/>
              <w:rPr>
                <w:rFonts w:ascii="Times New Roman" w:eastAsia="Times New Roman" w:hAnsi="Times New Roman" w:cs="Times New Roman"/>
                <w:sz w:val="20"/>
                <w:szCs w:val="20"/>
                <w:lang w:eastAsia="en-GB"/>
              </w:rPr>
            </w:pPr>
          </w:p>
        </w:tc>
        <w:tc>
          <w:tcPr>
            <w:tcW w:w="1583" w:type="dxa"/>
            <w:tcBorders>
              <w:top w:val="nil"/>
              <w:left w:val="nil"/>
              <w:bottom w:val="nil"/>
              <w:right w:val="nil"/>
            </w:tcBorders>
            <w:shd w:val="clear" w:color="auto" w:fill="auto"/>
            <w:vAlign w:val="center"/>
            <w:hideMark/>
          </w:tcPr>
          <w:p w14:paraId="6ED70642" w14:textId="77777777" w:rsidR="0060787D" w:rsidRPr="0060787D" w:rsidRDefault="0060787D" w:rsidP="0060787D">
            <w:pPr>
              <w:spacing w:after="0" w:line="240" w:lineRule="auto"/>
              <w:jc w:val="right"/>
              <w:rPr>
                <w:rFonts w:ascii="Times New Roman" w:eastAsia="Times New Roman" w:hAnsi="Times New Roman" w:cs="Times New Roman"/>
                <w:sz w:val="20"/>
                <w:szCs w:val="20"/>
                <w:lang w:eastAsia="en-GB"/>
              </w:rPr>
            </w:pPr>
          </w:p>
        </w:tc>
        <w:tc>
          <w:tcPr>
            <w:tcW w:w="1583" w:type="dxa"/>
            <w:tcBorders>
              <w:top w:val="nil"/>
              <w:left w:val="nil"/>
              <w:bottom w:val="nil"/>
              <w:right w:val="single" w:sz="4" w:space="0" w:color="auto"/>
            </w:tcBorders>
            <w:shd w:val="clear" w:color="auto" w:fill="auto"/>
            <w:vAlign w:val="center"/>
            <w:hideMark/>
          </w:tcPr>
          <w:p w14:paraId="4A17F93B" w14:textId="77777777" w:rsidR="0060787D" w:rsidRPr="0060787D" w:rsidRDefault="0060787D" w:rsidP="0060787D">
            <w:pPr>
              <w:spacing w:after="0" w:line="240" w:lineRule="auto"/>
              <w:jc w:val="right"/>
              <w:rPr>
                <w:rFonts w:ascii="Arial" w:eastAsia="Times New Roman" w:hAnsi="Arial" w:cs="Arial"/>
                <w:lang w:eastAsia="en-GB"/>
              </w:rPr>
            </w:pPr>
            <w:r w:rsidRPr="0060787D">
              <w:rPr>
                <w:rFonts w:ascii="Arial" w:eastAsia="Times New Roman" w:hAnsi="Arial" w:cs="Arial"/>
                <w:lang w:eastAsia="en-GB"/>
              </w:rPr>
              <w:t> </w:t>
            </w:r>
          </w:p>
        </w:tc>
      </w:tr>
      <w:tr w:rsidR="003D01BC" w:rsidRPr="0060787D" w14:paraId="7A00048E" w14:textId="77777777" w:rsidTr="005E1C71">
        <w:trPr>
          <w:trHeight w:val="450"/>
        </w:trPr>
        <w:tc>
          <w:tcPr>
            <w:tcW w:w="4673" w:type="dxa"/>
            <w:tcBorders>
              <w:top w:val="nil"/>
              <w:left w:val="single" w:sz="4" w:space="0" w:color="auto"/>
              <w:bottom w:val="nil"/>
              <w:right w:val="nil"/>
            </w:tcBorders>
            <w:shd w:val="clear" w:color="auto" w:fill="auto"/>
            <w:vAlign w:val="center"/>
            <w:hideMark/>
          </w:tcPr>
          <w:p w14:paraId="50566391" w14:textId="77777777" w:rsidR="0060787D" w:rsidRPr="0060787D" w:rsidRDefault="0060787D" w:rsidP="0060787D">
            <w:pPr>
              <w:spacing w:after="0" w:line="240" w:lineRule="auto"/>
              <w:rPr>
                <w:rFonts w:ascii="Arial" w:eastAsia="Times New Roman" w:hAnsi="Arial" w:cs="Arial"/>
                <w:lang w:eastAsia="en-GB"/>
              </w:rPr>
            </w:pPr>
            <w:r w:rsidRPr="0060787D">
              <w:rPr>
                <w:rFonts w:ascii="Arial" w:eastAsia="Times New Roman" w:hAnsi="Arial" w:cs="Arial"/>
                <w:lang w:eastAsia="en-GB"/>
              </w:rPr>
              <w:t>New endowments received</w:t>
            </w:r>
          </w:p>
        </w:tc>
        <w:tc>
          <w:tcPr>
            <w:tcW w:w="1582" w:type="dxa"/>
            <w:tcBorders>
              <w:top w:val="nil"/>
              <w:left w:val="nil"/>
              <w:bottom w:val="nil"/>
              <w:right w:val="nil"/>
            </w:tcBorders>
            <w:shd w:val="clear" w:color="auto" w:fill="auto"/>
            <w:vAlign w:val="center"/>
            <w:hideMark/>
          </w:tcPr>
          <w:p w14:paraId="1D36994E" w14:textId="77777777" w:rsidR="0060787D" w:rsidRPr="0060787D" w:rsidRDefault="0060787D" w:rsidP="0060787D">
            <w:pPr>
              <w:spacing w:after="0" w:line="240" w:lineRule="auto"/>
              <w:jc w:val="right"/>
              <w:rPr>
                <w:rFonts w:ascii="Arial" w:eastAsia="Times New Roman" w:hAnsi="Arial" w:cs="Arial"/>
                <w:lang w:eastAsia="en-GB"/>
              </w:rPr>
            </w:pPr>
            <w:r w:rsidRPr="0060787D">
              <w:rPr>
                <w:rFonts w:ascii="Arial" w:eastAsia="Times New Roman" w:hAnsi="Arial" w:cs="Arial"/>
                <w:lang w:eastAsia="en-GB"/>
              </w:rPr>
              <w:t>4</w:t>
            </w:r>
          </w:p>
        </w:tc>
        <w:tc>
          <w:tcPr>
            <w:tcW w:w="1583" w:type="dxa"/>
            <w:tcBorders>
              <w:top w:val="nil"/>
              <w:left w:val="nil"/>
              <w:bottom w:val="nil"/>
              <w:right w:val="nil"/>
            </w:tcBorders>
            <w:shd w:val="clear" w:color="auto" w:fill="auto"/>
            <w:vAlign w:val="center"/>
            <w:hideMark/>
          </w:tcPr>
          <w:p w14:paraId="52A400D4" w14:textId="77777777" w:rsidR="0060787D" w:rsidRPr="0060787D" w:rsidRDefault="0060787D" w:rsidP="0060787D">
            <w:pPr>
              <w:spacing w:after="0" w:line="240" w:lineRule="auto"/>
              <w:jc w:val="right"/>
              <w:rPr>
                <w:rFonts w:ascii="Arial" w:eastAsia="Times New Roman" w:hAnsi="Arial" w:cs="Arial"/>
                <w:lang w:eastAsia="en-GB"/>
              </w:rPr>
            </w:pPr>
            <w:r w:rsidRPr="0060787D">
              <w:rPr>
                <w:rFonts w:ascii="Arial" w:eastAsia="Times New Roman" w:hAnsi="Arial" w:cs="Arial"/>
                <w:lang w:eastAsia="en-GB"/>
              </w:rPr>
              <w:t>34</w:t>
            </w:r>
          </w:p>
        </w:tc>
        <w:tc>
          <w:tcPr>
            <w:tcW w:w="1583" w:type="dxa"/>
            <w:tcBorders>
              <w:top w:val="nil"/>
              <w:left w:val="nil"/>
              <w:bottom w:val="nil"/>
              <w:right w:val="nil"/>
            </w:tcBorders>
            <w:shd w:val="clear" w:color="auto" w:fill="auto"/>
            <w:vAlign w:val="center"/>
            <w:hideMark/>
          </w:tcPr>
          <w:p w14:paraId="78C0A765" w14:textId="77777777" w:rsidR="0060787D" w:rsidRPr="0060787D" w:rsidRDefault="0060787D" w:rsidP="0060787D">
            <w:pPr>
              <w:spacing w:after="0" w:line="240" w:lineRule="auto"/>
              <w:jc w:val="right"/>
              <w:rPr>
                <w:rFonts w:ascii="Arial" w:eastAsia="Times New Roman" w:hAnsi="Arial" w:cs="Arial"/>
                <w:lang w:eastAsia="en-GB"/>
              </w:rPr>
            </w:pPr>
            <w:r w:rsidRPr="0060787D">
              <w:rPr>
                <w:rFonts w:ascii="Arial" w:eastAsia="Times New Roman" w:hAnsi="Arial" w:cs="Arial"/>
                <w:lang w:eastAsia="en-GB"/>
              </w:rPr>
              <w:t>75</w:t>
            </w:r>
          </w:p>
        </w:tc>
        <w:tc>
          <w:tcPr>
            <w:tcW w:w="1583" w:type="dxa"/>
            <w:tcBorders>
              <w:top w:val="nil"/>
              <w:left w:val="nil"/>
              <w:bottom w:val="nil"/>
              <w:right w:val="nil"/>
            </w:tcBorders>
            <w:shd w:val="clear" w:color="auto" w:fill="auto"/>
            <w:vAlign w:val="center"/>
            <w:hideMark/>
          </w:tcPr>
          <w:p w14:paraId="11E2BA7E" w14:textId="77777777" w:rsidR="0060787D" w:rsidRPr="0060787D" w:rsidRDefault="0060787D" w:rsidP="0060787D">
            <w:pPr>
              <w:spacing w:after="0" w:line="240" w:lineRule="auto"/>
              <w:jc w:val="right"/>
              <w:rPr>
                <w:rFonts w:ascii="Arial" w:eastAsia="Times New Roman" w:hAnsi="Arial" w:cs="Arial"/>
                <w:lang w:eastAsia="en-GB"/>
              </w:rPr>
            </w:pPr>
            <w:r w:rsidRPr="0060787D">
              <w:rPr>
                <w:rFonts w:ascii="Arial" w:eastAsia="Times New Roman" w:hAnsi="Arial" w:cs="Arial"/>
                <w:lang w:eastAsia="en-GB"/>
              </w:rPr>
              <w:t>2</w:t>
            </w:r>
          </w:p>
        </w:tc>
        <w:tc>
          <w:tcPr>
            <w:tcW w:w="1583" w:type="dxa"/>
            <w:tcBorders>
              <w:top w:val="nil"/>
              <w:left w:val="nil"/>
              <w:bottom w:val="nil"/>
              <w:right w:val="nil"/>
            </w:tcBorders>
            <w:shd w:val="clear" w:color="auto" w:fill="auto"/>
            <w:vAlign w:val="center"/>
            <w:hideMark/>
          </w:tcPr>
          <w:p w14:paraId="42191D5C" w14:textId="77777777" w:rsidR="0060787D" w:rsidRPr="0060787D" w:rsidRDefault="0060787D" w:rsidP="0060787D">
            <w:pPr>
              <w:spacing w:after="0" w:line="240" w:lineRule="auto"/>
              <w:jc w:val="right"/>
              <w:rPr>
                <w:rFonts w:ascii="Arial" w:eastAsia="Times New Roman" w:hAnsi="Arial" w:cs="Arial"/>
                <w:lang w:eastAsia="en-GB"/>
              </w:rPr>
            </w:pPr>
            <w:r w:rsidRPr="0060787D">
              <w:rPr>
                <w:rFonts w:ascii="Arial" w:eastAsia="Times New Roman" w:hAnsi="Arial" w:cs="Arial"/>
                <w:lang w:eastAsia="en-GB"/>
              </w:rPr>
              <w:t>29</w:t>
            </w:r>
          </w:p>
        </w:tc>
        <w:tc>
          <w:tcPr>
            <w:tcW w:w="1583" w:type="dxa"/>
            <w:tcBorders>
              <w:top w:val="nil"/>
              <w:left w:val="nil"/>
              <w:bottom w:val="nil"/>
              <w:right w:val="single" w:sz="4" w:space="0" w:color="auto"/>
            </w:tcBorders>
            <w:shd w:val="clear" w:color="auto" w:fill="auto"/>
            <w:vAlign w:val="center"/>
            <w:hideMark/>
          </w:tcPr>
          <w:p w14:paraId="588824FE" w14:textId="77777777" w:rsidR="0060787D" w:rsidRPr="0060787D" w:rsidRDefault="0060787D" w:rsidP="0060787D">
            <w:pPr>
              <w:spacing w:after="0" w:line="240" w:lineRule="auto"/>
              <w:jc w:val="right"/>
              <w:rPr>
                <w:rFonts w:ascii="Arial" w:eastAsia="Times New Roman" w:hAnsi="Arial" w:cs="Arial"/>
                <w:lang w:eastAsia="en-GB"/>
              </w:rPr>
            </w:pPr>
            <w:r w:rsidRPr="0060787D">
              <w:rPr>
                <w:rFonts w:ascii="Arial" w:eastAsia="Times New Roman" w:hAnsi="Arial" w:cs="Arial"/>
                <w:lang w:eastAsia="en-GB"/>
              </w:rPr>
              <w:t>145</w:t>
            </w:r>
          </w:p>
        </w:tc>
      </w:tr>
      <w:tr w:rsidR="003D01BC" w:rsidRPr="0060787D" w14:paraId="6768EC12" w14:textId="77777777" w:rsidTr="005E1C71">
        <w:trPr>
          <w:trHeight w:val="450"/>
        </w:trPr>
        <w:tc>
          <w:tcPr>
            <w:tcW w:w="4673" w:type="dxa"/>
            <w:tcBorders>
              <w:top w:val="nil"/>
              <w:left w:val="single" w:sz="4" w:space="0" w:color="auto"/>
              <w:bottom w:val="nil"/>
              <w:right w:val="nil"/>
            </w:tcBorders>
            <w:shd w:val="clear" w:color="auto" w:fill="auto"/>
            <w:vAlign w:val="center"/>
            <w:hideMark/>
          </w:tcPr>
          <w:p w14:paraId="6DBBA515" w14:textId="77777777" w:rsidR="0060787D" w:rsidRPr="0060787D" w:rsidRDefault="0060787D" w:rsidP="0060787D">
            <w:pPr>
              <w:spacing w:after="0" w:line="240" w:lineRule="auto"/>
              <w:rPr>
                <w:rFonts w:ascii="Arial" w:eastAsia="Times New Roman" w:hAnsi="Arial" w:cs="Arial"/>
                <w:lang w:eastAsia="en-GB"/>
              </w:rPr>
            </w:pPr>
            <w:r w:rsidRPr="0060787D">
              <w:rPr>
                <w:rFonts w:ascii="Arial" w:eastAsia="Times New Roman" w:hAnsi="Arial" w:cs="Arial"/>
                <w:lang w:eastAsia="en-GB"/>
              </w:rPr>
              <w:t>New donations</w:t>
            </w:r>
          </w:p>
        </w:tc>
        <w:tc>
          <w:tcPr>
            <w:tcW w:w="1582" w:type="dxa"/>
            <w:tcBorders>
              <w:top w:val="nil"/>
              <w:left w:val="nil"/>
              <w:bottom w:val="nil"/>
              <w:right w:val="nil"/>
            </w:tcBorders>
            <w:shd w:val="clear" w:color="auto" w:fill="auto"/>
            <w:vAlign w:val="center"/>
            <w:hideMark/>
          </w:tcPr>
          <w:p w14:paraId="52B90D3D" w14:textId="77777777" w:rsidR="0060787D" w:rsidRPr="0060787D" w:rsidRDefault="0060787D" w:rsidP="0060787D">
            <w:pPr>
              <w:spacing w:after="0" w:line="240" w:lineRule="auto"/>
              <w:jc w:val="right"/>
              <w:rPr>
                <w:rFonts w:ascii="Arial" w:eastAsia="Times New Roman" w:hAnsi="Arial" w:cs="Arial"/>
                <w:lang w:eastAsia="en-GB"/>
              </w:rPr>
            </w:pPr>
            <w:r w:rsidRPr="0060787D">
              <w:rPr>
                <w:rFonts w:ascii="Arial" w:eastAsia="Times New Roman" w:hAnsi="Arial" w:cs="Arial"/>
                <w:lang w:eastAsia="en-GB"/>
              </w:rPr>
              <w:t>34</w:t>
            </w:r>
          </w:p>
        </w:tc>
        <w:tc>
          <w:tcPr>
            <w:tcW w:w="1583" w:type="dxa"/>
            <w:tcBorders>
              <w:top w:val="nil"/>
              <w:left w:val="nil"/>
              <w:bottom w:val="nil"/>
              <w:right w:val="nil"/>
            </w:tcBorders>
            <w:shd w:val="clear" w:color="auto" w:fill="auto"/>
            <w:vAlign w:val="center"/>
            <w:hideMark/>
          </w:tcPr>
          <w:p w14:paraId="203DCBAF" w14:textId="77777777" w:rsidR="0060787D" w:rsidRPr="0060787D" w:rsidRDefault="0060787D" w:rsidP="0060787D">
            <w:pPr>
              <w:spacing w:after="0" w:line="240" w:lineRule="auto"/>
              <w:jc w:val="right"/>
              <w:rPr>
                <w:rFonts w:ascii="Arial" w:eastAsia="Times New Roman" w:hAnsi="Arial" w:cs="Arial"/>
                <w:lang w:eastAsia="en-GB"/>
              </w:rPr>
            </w:pPr>
            <w:r w:rsidRPr="0060787D">
              <w:rPr>
                <w:rFonts w:ascii="Arial" w:eastAsia="Times New Roman" w:hAnsi="Arial" w:cs="Arial"/>
                <w:lang w:eastAsia="en-GB"/>
              </w:rPr>
              <w:t>44</w:t>
            </w:r>
          </w:p>
        </w:tc>
        <w:tc>
          <w:tcPr>
            <w:tcW w:w="1583" w:type="dxa"/>
            <w:tcBorders>
              <w:top w:val="nil"/>
              <w:left w:val="nil"/>
              <w:bottom w:val="nil"/>
              <w:right w:val="nil"/>
            </w:tcBorders>
            <w:shd w:val="clear" w:color="auto" w:fill="auto"/>
            <w:vAlign w:val="center"/>
            <w:hideMark/>
          </w:tcPr>
          <w:p w14:paraId="7DBBA8F9" w14:textId="77777777" w:rsidR="0060787D" w:rsidRPr="0060787D" w:rsidRDefault="0060787D" w:rsidP="0060787D">
            <w:pPr>
              <w:spacing w:after="0" w:line="240" w:lineRule="auto"/>
              <w:jc w:val="right"/>
              <w:rPr>
                <w:rFonts w:ascii="Arial" w:eastAsia="Times New Roman" w:hAnsi="Arial" w:cs="Arial"/>
                <w:lang w:eastAsia="en-GB"/>
              </w:rPr>
            </w:pPr>
            <w:r w:rsidRPr="0060787D">
              <w:rPr>
                <w:rFonts w:ascii="Arial" w:eastAsia="Times New Roman" w:hAnsi="Arial" w:cs="Arial"/>
                <w:lang w:eastAsia="en-GB"/>
              </w:rPr>
              <w:t>166</w:t>
            </w:r>
          </w:p>
        </w:tc>
        <w:tc>
          <w:tcPr>
            <w:tcW w:w="1583" w:type="dxa"/>
            <w:tcBorders>
              <w:top w:val="nil"/>
              <w:left w:val="nil"/>
              <w:bottom w:val="nil"/>
              <w:right w:val="nil"/>
            </w:tcBorders>
            <w:shd w:val="clear" w:color="auto" w:fill="auto"/>
            <w:vAlign w:val="center"/>
            <w:hideMark/>
          </w:tcPr>
          <w:p w14:paraId="234E65B3" w14:textId="77777777" w:rsidR="0060787D" w:rsidRPr="0060787D" w:rsidRDefault="0060787D" w:rsidP="0060787D">
            <w:pPr>
              <w:spacing w:after="0" w:line="240" w:lineRule="auto"/>
              <w:jc w:val="right"/>
              <w:rPr>
                <w:rFonts w:ascii="Arial" w:eastAsia="Times New Roman" w:hAnsi="Arial" w:cs="Arial"/>
                <w:lang w:eastAsia="en-GB"/>
              </w:rPr>
            </w:pPr>
            <w:r w:rsidRPr="0060787D">
              <w:rPr>
                <w:rFonts w:ascii="Arial" w:eastAsia="Times New Roman" w:hAnsi="Arial" w:cs="Arial"/>
                <w:lang w:eastAsia="en-GB"/>
              </w:rPr>
              <w:t>4</w:t>
            </w:r>
          </w:p>
        </w:tc>
        <w:tc>
          <w:tcPr>
            <w:tcW w:w="1583" w:type="dxa"/>
            <w:tcBorders>
              <w:top w:val="nil"/>
              <w:left w:val="nil"/>
              <w:bottom w:val="nil"/>
              <w:right w:val="nil"/>
            </w:tcBorders>
            <w:shd w:val="clear" w:color="auto" w:fill="auto"/>
            <w:vAlign w:val="center"/>
            <w:hideMark/>
          </w:tcPr>
          <w:p w14:paraId="11A046A4" w14:textId="77777777" w:rsidR="0060787D" w:rsidRPr="0060787D" w:rsidRDefault="0060787D" w:rsidP="0060787D">
            <w:pPr>
              <w:spacing w:after="0" w:line="240" w:lineRule="auto"/>
              <w:jc w:val="right"/>
              <w:rPr>
                <w:rFonts w:ascii="Arial" w:eastAsia="Times New Roman" w:hAnsi="Arial" w:cs="Arial"/>
                <w:lang w:eastAsia="en-GB"/>
              </w:rPr>
            </w:pPr>
            <w:r w:rsidRPr="0060787D">
              <w:rPr>
                <w:rFonts w:ascii="Arial" w:eastAsia="Times New Roman" w:hAnsi="Arial" w:cs="Arial"/>
                <w:lang w:eastAsia="en-GB"/>
              </w:rPr>
              <w:t>126</w:t>
            </w:r>
          </w:p>
        </w:tc>
        <w:tc>
          <w:tcPr>
            <w:tcW w:w="1583" w:type="dxa"/>
            <w:tcBorders>
              <w:top w:val="nil"/>
              <w:left w:val="nil"/>
              <w:bottom w:val="nil"/>
              <w:right w:val="single" w:sz="4" w:space="0" w:color="auto"/>
            </w:tcBorders>
            <w:shd w:val="clear" w:color="auto" w:fill="auto"/>
            <w:vAlign w:val="center"/>
            <w:hideMark/>
          </w:tcPr>
          <w:p w14:paraId="4CC2C769" w14:textId="77777777" w:rsidR="0060787D" w:rsidRPr="0060787D" w:rsidRDefault="0060787D" w:rsidP="0060787D">
            <w:pPr>
              <w:spacing w:after="0" w:line="240" w:lineRule="auto"/>
              <w:jc w:val="right"/>
              <w:rPr>
                <w:rFonts w:ascii="Arial" w:eastAsia="Times New Roman" w:hAnsi="Arial" w:cs="Arial"/>
                <w:lang w:eastAsia="en-GB"/>
              </w:rPr>
            </w:pPr>
            <w:r w:rsidRPr="0060787D">
              <w:rPr>
                <w:rFonts w:ascii="Arial" w:eastAsia="Times New Roman" w:hAnsi="Arial" w:cs="Arial"/>
                <w:lang w:eastAsia="en-GB"/>
              </w:rPr>
              <w:t>375</w:t>
            </w:r>
          </w:p>
        </w:tc>
      </w:tr>
      <w:tr w:rsidR="003D01BC" w:rsidRPr="0060787D" w14:paraId="49720D31" w14:textId="77777777" w:rsidTr="005E1C71">
        <w:trPr>
          <w:trHeight w:val="450"/>
        </w:trPr>
        <w:tc>
          <w:tcPr>
            <w:tcW w:w="4673" w:type="dxa"/>
            <w:tcBorders>
              <w:top w:val="nil"/>
              <w:left w:val="single" w:sz="4" w:space="0" w:color="auto"/>
              <w:bottom w:val="nil"/>
              <w:right w:val="nil"/>
            </w:tcBorders>
            <w:shd w:val="clear" w:color="auto" w:fill="auto"/>
            <w:vAlign w:val="center"/>
            <w:hideMark/>
          </w:tcPr>
          <w:p w14:paraId="3F356214" w14:textId="77777777" w:rsidR="0060787D" w:rsidRPr="0060787D" w:rsidRDefault="0060787D" w:rsidP="0060787D">
            <w:pPr>
              <w:spacing w:after="0" w:line="240" w:lineRule="auto"/>
              <w:rPr>
                <w:rFonts w:ascii="Arial" w:eastAsia="Times New Roman" w:hAnsi="Arial" w:cs="Arial"/>
                <w:lang w:eastAsia="en-GB"/>
              </w:rPr>
            </w:pPr>
            <w:r w:rsidRPr="0060787D">
              <w:rPr>
                <w:rFonts w:ascii="Arial" w:eastAsia="Times New Roman" w:hAnsi="Arial" w:cs="Arial"/>
                <w:lang w:eastAsia="en-GB"/>
              </w:rPr>
              <w:t>New government capital grants</w:t>
            </w:r>
          </w:p>
        </w:tc>
        <w:tc>
          <w:tcPr>
            <w:tcW w:w="1582" w:type="dxa"/>
            <w:tcBorders>
              <w:top w:val="nil"/>
              <w:left w:val="nil"/>
              <w:bottom w:val="nil"/>
              <w:right w:val="nil"/>
            </w:tcBorders>
            <w:shd w:val="clear" w:color="auto" w:fill="auto"/>
            <w:vAlign w:val="center"/>
            <w:hideMark/>
          </w:tcPr>
          <w:p w14:paraId="7E00768C" w14:textId="77777777" w:rsidR="0060787D" w:rsidRPr="0060787D" w:rsidRDefault="0060787D" w:rsidP="0060787D">
            <w:pPr>
              <w:spacing w:after="0" w:line="240" w:lineRule="auto"/>
              <w:jc w:val="right"/>
              <w:rPr>
                <w:rFonts w:ascii="Arial" w:eastAsia="Times New Roman" w:hAnsi="Arial" w:cs="Arial"/>
                <w:lang w:eastAsia="en-GB"/>
              </w:rPr>
            </w:pPr>
            <w:r w:rsidRPr="0060787D">
              <w:rPr>
                <w:rFonts w:ascii="Arial" w:eastAsia="Times New Roman" w:hAnsi="Arial" w:cs="Arial"/>
                <w:lang w:eastAsia="en-GB"/>
              </w:rPr>
              <w:t>58</w:t>
            </w:r>
          </w:p>
        </w:tc>
        <w:tc>
          <w:tcPr>
            <w:tcW w:w="1583" w:type="dxa"/>
            <w:tcBorders>
              <w:top w:val="nil"/>
              <w:left w:val="nil"/>
              <w:bottom w:val="nil"/>
              <w:right w:val="nil"/>
            </w:tcBorders>
            <w:shd w:val="clear" w:color="auto" w:fill="auto"/>
            <w:vAlign w:val="center"/>
            <w:hideMark/>
          </w:tcPr>
          <w:p w14:paraId="72D0DE87" w14:textId="77777777" w:rsidR="0060787D" w:rsidRPr="0060787D" w:rsidRDefault="0060787D" w:rsidP="0060787D">
            <w:pPr>
              <w:spacing w:after="0" w:line="240" w:lineRule="auto"/>
              <w:jc w:val="right"/>
              <w:rPr>
                <w:rFonts w:ascii="Arial" w:eastAsia="Times New Roman" w:hAnsi="Arial" w:cs="Arial"/>
                <w:lang w:eastAsia="en-GB"/>
              </w:rPr>
            </w:pPr>
            <w:r w:rsidRPr="0060787D">
              <w:rPr>
                <w:rFonts w:ascii="Arial" w:eastAsia="Times New Roman" w:hAnsi="Arial" w:cs="Arial"/>
                <w:lang w:eastAsia="en-GB"/>
              </w:rPr>
              <w:t>8</w:t>
            </w:r>
          </w:p>
        </w:tc>
        <w:tc>
          <w:tcPr>
            <w:tcW w:w="1583" w:type="dxa"/>
            <w:tcBorders>
              <w:top w:val="nil"/>
              <w:left w:val="nil"/>
              <w:bottom w:val="nil"/>
              <w:right w:val="nil"/>
            </w:tcBorders>
            <w:shd w:val="clear" w:color="auto" w:fill="auto"/>
            <w:vAlign w:val="center"/>
            <w:hideMark/>
          </w:tcPr>
          <w:p w14:paraId="51F5E30B" w14:textId="77777777" w:rsidR="0060787D" w:rsidRPr="0060787D" w:rsidRDefault="0060787D" w:rsidP="0060787D">
            <w:pPr>
              <w:spacing w:after="0" w:line="240" w:lineRule="auto"/>
              <w:jc w:val="right"/>
              <w:rPr>
                <w:rFonts w:ascii="Arial" w:eastAsia="Times New Roman" w:hAnsi="Arial" w:cs="Arial"/>
                <w:lang w:eastAsia="en-GB"/>
              </w:rPr>
            </w:pPr>
            <w:r w:rsidRPr="0060787D">
              <w:rPr>
                <w:rFonts w:ascii="Arial" w:eastAsia="Times New Roman" w:hAnsi="Arial" w:cs="Arial"/>
                <w:lang w:eastAsia="en-GB"/>
              </w:rPr>
              <w:t>287</w:t>
            </w:r>
          </w:p>
        </w:tc>
        <w:tc>
          <w:tcPr>
            <w:tcW w:w="1583" w:type="dxa"/>
            <w:tcBorders>
              <w:top w:val="nil"/>
              <w:left w:val="nil"/>
              <w:bottom w:val="nil"/>
              <w:right w:val="nil"/>
            </w:tcBorders>
            <w:shd w:val="clear" w:color="auto" w:fill="auto"/>
            <w:vAlign w:val="center"/>
            <w:hideMark/>
          </w:tcPr>
          <w:p w14:paraId="6113FC87" w14:textId="77777777" w:rsidR="0060787D" w:rsidRPr="0060787D" w:rsidRDefault="0060787D" w:rsidP="0060787D">
            <w:pPr>
              <w:spacing w:after="0" w:line="240" w:lineRule="auto"/>
              <w:jc w:val="right"/>
              <w:rPr>
                <w:rFonts w:ascii="Arial" w:eastAsia="Times New Roman" w:hAnsi="Arial" w:cs="Arial"/>
                <w:lang w:eastAsia="en-GB"/>
              </w:rPr>
            </w:pPr>
            <w:r w:rsidRPr="0060787D">
              <w:rPr>
                <w:rFonts w:ascii="Arial" w:eastAsia="Times New Roman" w:hAnsi="Arial" w:cs="Arial"/>
                <w:lang w:eastAsia="en-GB"/>
              </w:rPr>
              <w:t>22</w:t>
            </w:r>
          </w:p>
        </w:tc>
        <w:tc>
          <w:tcPr>
            <w:tcW w:w="1583" w:type="dxa"/>
            <w:tcBorders>
              <w:top w:val="nil"/>
              <w:left w:val="nil"/>
              <w:bottom w:val="nil"/>
              <w:right w:val="nil"/>
            </w:tcBorders>
            <w:shd w:val="clear" w:color="auto" w:fill="auto"/>
            <w:vAlign w:val="center"/>
            <w:hideMark/>
          </w:tcPr>
          <w:p w14:paraId="56CBB796" w14:textId="77777777" w:rsidR="0060787D" w:rsidRPr="0060787D" w:rsidRDefault="0060787D" w:rsidP="0060787D">
            <w:pPr>
              <w:spacing w:after="0" w:line="240" w:lineRule="auto"/>
              <w:jc w:val="right"/>
              <w:rPr>
                <w:rFonts w:ascii="Arial" w:eastAsia="Times New Roman" w:hAnsi="Arial" w:cs="Arial"/>
                <w:lang w:eastAsia="en-GB"/>
              </w:rPr>
            </w:pPr>
            <w:r w:rsidRPr="0060787D">
              <w:rPr>
                <w:rFonts w:ascii="Arial" w:eastAsia="Times New Roman" w:hAnsi="Arial" w:cs="Arial"/>
                <w:lang w:eastAsia="en-GB"/>
              </w:rPr>
              <w:t>25</w:t>
            </w:r>
          </w:p>
        </w:tc>
        <w:tc>
          <w:tcPr>
            <w:tcW w:w="1583" w:type="dxa"/>
            <w:tcBorders>
              <w:top w:val="nil"/>
              <w:left w:val="nil"/>
              <w:bottom w:val="nil"/>
              <w:right w:val="single" w:sz="4" w:space="0" w:color="auto"/>
            </w:tcBorders>
            <w:shd w:val="clear" w:color="auto" w:fill="auto"/>
            <w:vAlign w:val="center"/>
            <w:hideMark/>
          </w:tcPr>
          <w:p w14:paraId="604EC896" w14:textId="77777777" w:rsidR="0060787D" w:rsidRPr="0060787D" w:rsidRDefault="0060787D" w:rsidP="0060787D">
            <w:pPr>
              <w:spacing w:after="0" w:line="240" w:lineRule="auto"/>
              <w:jc w:val="right"/>
              <w:rPr>
                <w:rFonts w:ascii="Arial" w:eastAsia="Times New Roman" w:hAnsi="Arial" w:cs="Arial"/>
                <w:lang w:eastAsia="en-GB"/>
              </w:rPr>
            </w:pPr>
            <w:r w:rsidRPr="0060787D">
              <w:rPr>
                <w:rFonts w:ascii="Arial" w:eastAsia="Times New Roman" w:hAnsi="Arial" w:cs="Arial"/>
                <w:lang w:eastAsia="en-GB"/>
              </w:rPr>
              <w:t>400</w:t>
            </w:r>
          </w:p>
        </w:tc>
      </w:tr>
      <w:tr w:rsidR="003D01BC" w:rsidRPr="0060787D" w14:paraId="4075FDC3" w14:textId="77777777" w:rsidTr="005E1C71">
        <w:trPr>
          <w:trHeight w:val="450"/>
        </w:trPr>
        <w:tc>
          <w:tcPr>
            <w:tcW w:w="4673" w:type="dxa"/>
            <w:tcBorders>
              <w:top w:val="nil"/>
              <w:left w:val="single" w:sz="4" w:space="0" w:color="auto"/>
              <w:bottom w:val="nil"/>
              <w:right w:val="nil"/>
            </w:tcBorders>
            <w:shd w:val="clear" w:color="auto" w:fill="auto"/>
            <w:vAlign w:val="center"/>
            <w:hideMark/>
          </w:tcPr>
          <w:p w14:paraId="3770DD74" w14:textId="77777777" w:rsidR="0060787D" w:rsidRPr="0060787D" w:rsidRDefault="0060787D" w:rsidP="0060787D">
            <w:pPr>
              <w:spacing w:after="0" w:line="240" w:lineRule="auto"/>
              <w:rPr>
                <w:rFonts w:ascii="Arial" w:eastAsia="Times New Roman" w:hAnsi="Arial" w:cs="Arial"/>
                <w:lang w:eastAsia="en-GB"/>
              </w:rPr>
            </w:pPr>
            <w:r w:rsidRPr="0060787D">
              <w:rPr>
                <w:rFonts w:ascii="Arial" w:eastAsia="Times New Roman" w:hAnsi="Arial" w:cs="Arial"/>
                <w:lang w:eastAsia="en-GB"/>
              </w:rPr>
              <w:t>New non-government capital grants</w:t>
            </w:r>
          </w:p>
        </w:tc>
        <w:tc>
          <w:tcPr>
            <w:tcW w:w="1582" w:type="dxa"/>
            <w:tcBorders>
              <w:top w:val="nil"/>
              <w:left w:val="nil"/>
              <w:bottom w:val="nil"/>
              <w:right w:val="nil"/>
            </w:tcBorders>
            <w:shd w:val="clear" w:color="auto" w:fill="auto"/>
            <w:vAlign w:val="center"/>
            <w:hideMark/>
          </w:tcPr>
          <w:p w14:paraId="7FEC7E02" w14:textId="77777777" w:rsidR="0060787D" w:rsidRPr="0060787D" w:rsidRDefault="0060787D" w:rsidP="0060787D">
            <w:pPr>
              <w:spacing w:after="0" w:line="240" w:lineRule="auto"/>
              <w:jc w:val="right"/>
              <w:rPr>
                <w:rFonts w:ascii="Arial" w:eastAsia="Times New Roman" w:hAnsi="Arial" w:cs="Arial"/>
                <w:lang w:eastAsia="en-GB"/>
              </w:rPr>
            </w:pPr>
            <w:r w:rsidRPr="0060787D">
              <w:rPr>
                <w:rFonts w:ascii="Arial" w:eastAsia="Times New Roman" w:hAnsi="Arial" w:cs="Arial"/>
                <w:lang w:eastAsia="en-GB"/>
              </w:rPr>
              <w:t>13</w:t>
            </w:r>
          </w:p>
        </w:tc>
        <w:tc>
          <w:tcPr>
            <w:tcW w:w="1583" w:type="dxa"/>
            <w:tcBorders>
              <w:top w:val="nil"/>
              <w:left w:val="nil"/>
              <w:bottom w:val="nil"/>
              <w:right w:val="nil"/>
            </w:tcBorders>
            <w:shd w:val="clear" w:color="auto" w:fill="auto"/>
            <w:vAlign w:val="center"/>
            <w:hideMark/>
          </w:tcPr>
          <w:p w14:paraId="2EAB0EE2" w14:textId="77777777" w:rsidR="0060787D" w:rsidRPr="0060787D" w:rsidRDefault="0060787D" w:rsidP="0060787D">
            <w:pPr>
              <w:spacing w:after="0" w:line="240" w:lineRule="auto"/>
              <w:jc w:val="right"/>
              <w:rPr>
                <w:rFonts w:ascii="Arial" w:eastAsia="Times New Roman" w:hAnsi="Arial" w:cs="Arial"/>
                <w:lang w:eastAsia="en-GB"/>
              </w:rPr>
            </w:pPr>
            <w:r w:rsidRPr="0060787D">
              <w:rPr>
                <w:rFonts w:ascii="Arial" w:eastAsia="Times New Roman" w:hAnsi="Arial" w:cs="Arial"/>
                <w:lang w:eastAsia="en-GB"/>
              </w:rPr>
              <w:t>6</w:t>
            </w:r>
          </w:p>
        </w:tc>
        <w:tc>
          <w:tcPr>
            <w:tcW w:w="1583" w:type="dxa"/>
            <w:tcBorders>
              <w:top w:val="nil"/>
              <w:left w:val="nil"/>
              <w:bottom w:val="nil"/>
              <w:right w:val="nil"/>
            </w:tcBorders>
            <w:shd w:val="clear" w:color="auto" w:fill="auto"/>
            <w:vAlign w:val="center"/>
            <w:hideMark/>
          </w:tcPr>
          <w:p w14:paraId="7366CD30" w14:textId="77777777" w:rsidR="0060787D" w:rsidRPr="0060787D" w:rsidRDefault="0060787D" w:rsidP="0060787D">
            <w:pPr>
              <w:spacing w:after="0" w:line="240" w:lineRule="auto"/>
              <w:jc w:val="right"/>
              <w:rPr>
                <w:rFonts w:ascii="Arial" w:eastAsia="Times New Roman" w:hAnsi="Arial" w:cs="Arial"/>
                <w:lang w:eastAsia="en-GB"/>
              </w:rPr>
            </w:pPr>
            <w:r w:rsidRPr="0060787D">
              <w:rPr>
                <w:rFonts w:ascii="Arial" w:eastAsia="Times New Roman" w:hAnsi="Arial" w:cs="Arial"/>
                <w:lang w:eastAsia="en-GB"/>
              </w:rPr>
              <w:t>38</w:t>
            </w:r>
          </w:p>
        </w:tc>
        <w:tc>
          <w:tcPr>
            <w:tcW w:w="1583" w:type="dxa"/>
            <w:tcBorders>
              <w:top w:val="nil"/>
              <w:left w:val="nil"/>
              <w:bottom w:val="nil"/>
              <w:right w:val="nil"/>
            </w:tcBorders>
            <w:shd w:val="clear" w:color="auto" w:fill="auto"/>
            <w:vAlign w:val="center"/>
            <w:hideMark/>
          </w:tcPr>
          <w:p w14:paraId="49DAA984" w14:textId="77777777" w:rsidR="0060787D" w:rsidRPr="0060787D" w:rsidRDefault="0060787D" w:rsidP="0060787D">
            <w:pPr>
              <w:spacing w:after="0" w:line="240" w:lineRule="auto"/>
              <w:jc w:val="right"/>
              <w:rPr>
                <w:rFonts w:ascii="Arial" w:eastAsia="Times New Roman" w:hAnsi="Arial" w:cs="Arial"/>
                <w:lang w:eastAsia="en-GB"/>
              </w:rPr>
            </w:pPr>
            <w:r w:rsidRPr="0060787D">
              <w:rPr>
                <w:rFonts w:ascii="Arial" w:eastAsia="Times New Roman" w:hAnsi="Arial" w:cs="Arial"/>
                <w:lang w:eastAsia="en-GB"/>
              </w:rPr>
              <w:t>15</w:t>
            </w:r>
          </w:p>
        </w:tc>
        <w:tc>
          <w:tcPr>
            <w:tcW w:w="1583" w:type="dxa"/>
            <w:tcBorders>
              <w:top w:val="nil"/>
              <w:left w:val="nil"/>
              <w:bottom w:val="nil"/>
              <w:right w:val="nil"/>
            </w:tcBorders>
            <w:shd w:val="clear" w:color="auto" w:fill="auto"/>
            <w:vAlign w:val="center"/>
            <w:hideMark/>
          </w:tcPr>
          <w:p w14:paraId="64A60930" w14:textId="77777777" w:rsidR="0060787D" w:rsidRPr="0060787D" w:rsidRDefault="0060787D" w:rsidP="0060787D">
            <w:pPr>
              <w:spacing w:after="0" w:line="240" w:lineRule="auto"/>
              <w:jc w:val="right"/>
              <w:rPr>
                <w:rFonts w:ascii="Arial" w:eastAsia="Times New Roman" w:hAnsi="Arial" w:cs="Arial"/>
                <w:lang w:eastAsia="en-GB"/>
              </w:rPr>
            </w:pPr>
            <w:r w:rsidRPr="0060787D">
              <w:rPr>
                <w:rFonts w:ascii="Arial" w:eastAsia="Times New Roman" w:hAnsi="Arial" w:cs="Arial"/>
                <w:lang w:eastAsia="en-GB"/>
              </w:rPr>
              <w:t>24</w:t>
            </w:r>
          </w:p>
        </w:tc>
        <w:tc>
          <w:tcPr>
            <w:tcW w:w="1583" w:type="dxa"/>
            <w:tcBorders>
              <w:top w:val="nil"/>
              <w:left w:val="nil"/>
              <w:bottom w:val="nil"/>
              <w:right w:val="single" w:sz="4" w:space="0" w:color="auto"/>
            </w:tcBorders>
            <w:shd w:val="clear" w:color="auto" w:fill="auto"/>
            <w:vAlign w:val="center"/>
            <w:hideMark/>
          </w:tcPr>
          <w:p w14:paraId="50BB6747" w14:textId="77777777" w:rsidR="0060787D" w:rsidRPr="0060787D" w:rsidRDefault="0060787D" w:rsidP="0060787D">
            <w:pPr>
              <w:spacing w:after="0" w:line="240" w:lineRule="auto"/>
              <w:jc w:val="right"/>
              <w:rPr>
                <w:rFonts w:ascii="Arial" w:eastAsia="Times New Roman" w:hAnsi="Arial" w:cs="Arial"/>
                <w:lang w:eastAsia="en-GB"/>
              </w:rPr>
            </w:pPr>
            <w:r w:rsidRPr="0060787D">
              <w:rPr>
                <w:rFonts w:ascii="Arial" w:eastAsia="Times New Roman" w:hAnsi="Arial" w:cs="Arial"/>
                <w:lang w:eastAsia="en-GB"/>
              </w:rPr>
              <w:t>95</w:t>
            </w:r>
          </w:p>
        </w:tc>
      </w:tr>
      <w:tr w:rsidR="003D01BC" w:rsidRPr="0060787D" w14:paraId="4921E54B" w14:textId="77777777" w:rsidTr="005E1C71">
        <w:trPr>
          <w:trHeight w:val="450"/>
        </w:trPr>
        <w:tc>
          <w:tcPr>
            <w:tcW w:w="4673" w:type="dxa"/>
            <w:tcBorders>
              <w:top w:val="nil"/>
              <w:left w:val="single" w:sz="4" w:space="0" w:color="auto"/>
              <w:bottom w:val="single" w:sz="4" w:space="0" w:color="auto"/>
              <w:right w:val="nil"/>
            </w:tcBorders>
            <w:shd w:val="clear" w:color="auto" w:fill="auto"/>
            <w:vAlign w:val="center"/>
            <w:hideMark/>
          </w:tcPr>
          <w:p w14:paraId="0994FC0F" w14:textId="77777777" w:rsidR="0060787D" w:rsidRPr="0060787D" w:rsidRDefault="0060787D" w:rsidP="0060787D">
            <w:pPr>
              <w:spacing w:after="0" w:line="240" w:lineRule="auto"/>
              <w:rPr>
                <w:rFonts w:ascii="Arial" w:eastAsia="Times New Roman" w:hAnsi="Arial" w:cs="Arial"/>
                <w:lang w:eastAsia="en-GB"/>
              </w:rPr>
            </w:pPr>
            <w:r w:rsidRPr="0060787D">
              <w:rPr>
                <w:rFonts w:ascii="Arial" w:eastAsia="Times New Roman" w:hAnsi="Arial" w:cs="Arial"/>
                <w:lang w:eastAsia="en-GB"/>
              </w:rPr>
              <w:t>Other material items</w:t>
            </w:r>
          </w:p>
        </w:tc>
        <w:tc>
          <w:tcPr>
            <w:tcW w:w="1582" w:type="dxa"/>
            <w:tcBorders>
              <w:top w:val="nil"/>
              <w:left w:val="nil"/>
              <w:bottom w:val="single" w:sz="4" w:space="0" w:color="auto"/>
              <w:right w:val="nil"/>
            </w:tcBorders>
            <w:shd w:val="clear" w:color="auto" w:fill="auto"/>
            <w:vAlign w:val="center"/>
            <w:hideMark/>
          </w:tcPr>
          <w:p w14:paraId="3396733D" w14:textId="77777777" w:rsidR="0060787D" w:rsidRPr="0060787D" w:rsidRDefault="0060787D" w:rsidP="0060787D">
            <w:pPr>
              <w:spacing w:after="0" w:line="240" w:lineRule="auto"/>
              <w:jc w:val="right"/>
              <w:rPr>
                <w:rFonts w:ascii="Arial" w:eastAsia="Times New Roman" w:hAnsi="Arial" w:cs="Arial"/>
                <w:lang w:eastAsia="en-GB"/>
              </w:rPr>
            </w:pPr>
            <w:r w:rsidRPr="0060787D">
              <w:rPr>
                <w:rFonts w:ascii="Arial" w:eastAsia="Times New Roman" w:hAnsi="Arial" w:cs="Arial"/>
                <w:lang w:eastAsia="en-GB"/>
              </w:rPr>
              <w:t>0</w:t>
            </w:r>
          </w:p>
        </w:tc>
        <w:tc>
          <w:tcPr>
            <w:tcW w:w="1583" w:type="dxa"/>
            <w:tcBorders>
              <w:top w:val="nil"/>
              <w:left w:val="nil"/>
              <w:bottom w:val="single" w:sz="4" w:space="0" w:color="auto"/>
              <w:right w:val="nil"/>
            </w:tcBorders>
            <w:shd w:val="clear" w:color="auto" w:fill="auto"/>
            <w:vAlign w:val="center"/>
            <w:hideMark/>
          </w:tcPr>
          <w:p w14:paraId="2DCFAFF2" w14:textId="77777777" w:rsidR="0060787D" w:rsidRPr="0060787D" w:rsidRDefault="0060787D" w:rsidP="0060787D">
            <w:pPr>
              <w:spacing w:after="0" w:line="240" w:lineRule="auto"/>
              <w:jc w:val="right"/>
              <w:rPr>
                <w:rFonts w:ascii="Arial" w:eastAsia="Times New Roman" w:hAnsi="Arial" w:cs="Arial"/>
                <w:lang w:eastAsia="en-GB"/>
              </w:rPr>
            </w:pPr>
            <w:r w:rsidRPr="0060787D">
              <w:rPr>
                <w:rFonts w:ascii="Arial" w:eastAsia="Times New Roman" w:hAnsi="Arial" w:cs="Arial"/>
                <w:lang w:eastAsia="en-GB"/>
              </w:rPr>
              <w:t>1</w:t>
            </w:r>
          </w:p>
        </w:tc>
        <w:tc>
          <w:tcPr>
            <w:tcW w:w="1583" w:type="dxa"/>
            <w:tcBorders>
              <w:top w:val="nil"/>
              <w:left w:val="nil"/>
              <w:bottom w:val="single" w:sz="4" w:space="0" w:color="auto"/>
              <w:right w:val="nil"/>
            </w:tcBorders>
            <w:shd w:val="clear" w:color="auto" w:fill="auto"/>
            <w:vAlign w:val="center"/>
            <w:hideMark/>
          </w:tcPr>
          <w:p w14:paraId="139DA704" w14:textId="77777777" w:rsidR="0060787D" w:rsidRPr="0060787D" w:rsidRDefault="0060787D" w:rsidP="0060787D">
            <w:pPr>
              <w:spacing w:after="0" w:line="240" w:lineRule="auto"/>
              <w:jc w:val="right"/>
              <w:rPr>
                <w:rFonts w:ascii="Arial" w:eastAsia="Times New Roman" w:hAnsi="Arial" w:cs="Arial"/>
                <w:lang w:eastAsia="en-GB"/>
              </w:rPr>
            </w:pPr>
            <w:r w:rsidRPr="0060787D">
              <w:rPr>
                <w:rFonts w:ascii="Arial" w:eastAsia="Times New Roman" w:hAnsi="Arial" w:cs="Arial"/>
                <w:lang w:eastAsia="en-GB"/>
              </w:rPr>
              <w:t>0</w:t>
            </w:r>
          </w:p>
        </w:tc>
        <w:tc>
          <w:tcPr>
            <w:tcW w:w="1583" w:type="dxa"/>
            <w:tcBorders>
              <w:top w:val="nil"/>
              <w:left w:val="nil"/>
              <w:bottom w:val="single" w:sz="4" w:space="0" w:color="auto"/>
              <w:right w:val="nil"/>
            </w:tcBorders>
            <w:shd w:val="clear" w:color="auto" w:fill="auto"/>
            <w:vAlign w:val="center"/>
            <w:hideMark/>
          </w:tcPr>
          <w:p w14:paraId="221CFE9A" w14:textId="77777777" w:rsidR="0060787D" w:rsidRPr="0060787D" w:rsidRDefault="0060787D" w:rsidP="0060787D">
            <w:pPr>
              <w:spacing w:after="0" w:line="240" w:lineRule="auto"/>
              <w:jc w:val="right"/>
              <w:rPr>
                <w:rFonts w:ascii="Arial" w:eastAsia="Times New Roman" w:hAnsi="Arial" w:cs="Arial"/>
                <w:lang w:eastAsia="en-GB"/>
              </w:rPr>
            </w:pPr>
            <w:r w:rsidRPr="0060787D">
              <w:rPr>
                <w:rFonts w:ascii="Arial" w:eastAsia="Times New Roman" w:hAnsi="Arial" w:cs="Arial"/>
                <w:lang w:eastAsia="en-GB"/>
              </w:rPr>
              <w:t>16</w:t>
            </w:r>
          </w:p>
        </w:tc>
        <w:tc>
          <w:tcPr>
            <w:tcW w:w="1583" w:type="dxa"/>
            <w:tcBorders>
              <w:top w:val="nil"/>
              <w:left w:val="nil"/>
              <w:bottom w:val="single" w:sz="4" w:space="0" w:color="auto"/>
              <w:right w:val="nil"/>
            </w:tcBorders>
            <w:shd w:val="clear" w:color="auto" w:fill="auto"/>
            <w:vAlign w:val="center"/>
            <w:hideMark/>
          </w:tcPr>
          <w:p w14:paraId="4D600B9F" w14:textId="77777777" w:rsidR="0060787D" w:rsidRPr="0060787D" w:rsidRDefault="0060787D" w:rsidP="0060787D">
            <w:pPr>
              <w:spacing w:after="0" w:line="240" w:lineRule="auto"/>
              <w:jc w:val="right"/>
              <w:rPr>
                <w:rFonts w:ascii="Arial" w:eastAsia="Times New Roman" w:hAnsi="Arial" w:cs="Arial"/>
                <w:lang w:eastAsia="en-GB"/>
              </w:rPr>
            </w:pPr>
            <w:r w:rsidRPr="0060787D">
              <w:rPr>
                <w:rFonts w:ascii="Arial" w:eastAsia="Times New Roman" w:hAnsi="Arial" w:cs="Arial"/>
                <w:lang w:eastAsia="en-GB"/>
              </w:rPr>
              <w:t>8</w:t>
            </w:r>
          </w:p>
        </w:tc>
        <w:tc>
          <w:tcPr>
            <w:tcW w:w="1583" w:type="dxa"/>
            <w:tcBorders>
              <w:top w:val="nil"/>
              <w:left w:val="nil"/>
              <w:bottom w:val="single" w:sz="4" w:space="0" w:color="auto"/>
              <w:right w:val="single" w:sz="4" w:space="0" w:color="auto"/>
            </w:tcBorders>
            <w:shd w:val="clear" w:color="auto" w:fill="auto"/>
            <w:vAlign w:val="center"/>
            <w:hideMark/>
          </w:tcPr>
          <w:p w14:paraId="78AABD02" w14:textId="77777777" w:rsidR="0060787D" w:rsidRPr="0060787D" w:rsidRDefault="0060787D" w:rsidP="0060787D">
            <w:pPr>
              <w:spacing w:after="0" w:line="240" w:lineRule="auto"/>
              <w:jc w:val="right"/>
              <w:rPr>
                <w:rFonts w:ascii="Arial" w:eastAsia="Times New Roman" w:hAnsi="Arial" w:cs="Arial"/>
                <w:lang w:eastAsia="en-GB"/>
              </w:rPr>
            </w:pPr>
            <w:r w:rsidRPr="0060787D">
              <w:rPr>
                <w:rFonts w:ascii="Arial" w:eastAsia="Times New Roman" w:hAnsi="Arial" w:cs="Arial"/>
                <w:lang w:eastAsia="en-GB"/>
              </w:rPr>
              <w:t>25</w:t>
            </w:r>
          </w:p>
        </w:tc>
      </w:tr>
      <w:tr w:rsidR="003D01BC" w:rsidRPr="0060787D" w14:paraId="1025A4EA" w14:textId="77777777" w:rsidTr="005E1C71">
        <w:trPr>
          <w:trHeight w:val="450"/>
        </w:trPr>
        <w:tc>
          <w:tcPr>
            <w:tcW w:w="4673" w:type="dxa"/>
            <w:tcBorders>
              <w:top w:val="nil"/>
              <w:left w:val="single" w:sz="4" w:space="0" w:color="auto"/>
              <w:bottom w:val="single" w:sz="4" w:space="0" w:color="auto"/>
              <w:right w:val="nil"/>
            </w:tcBorders>
            <w:shd w:val="clear" w:color="auto" w:fill="auto"/>
            <w:vAlign w:val="center"/>
            <w:hideMark/>
          </w:tcPr>
          <w:p w14:paraId="346659EB" w14:textId="77777777" w:rsidR="0060787D" w:rsidRPr="0060787D" w:rsidRDefault="0060787D" w:rsidP="0060787D">
            <w:pPr>
              <w:spacing w:after="0" w:line="240" w:lineRule="auto"/>
              <w:rPr>
                <w:rFonts w:ascii="Arial" w:eastAsia="Times New Roman" w:hAnsi="Arial" w:cs="Arial"/>
                <w:lang w:eastAsia="en-GB"/>
              </w:rPr>
            </w:pPr>
            <w:r w:rsidRPr="0060787D">
              <w:rPr>
                <w:rFonts w:ascii="Arial" w:eastAsia="Times New Roman" w:hAnsi="Arial" w:cs="Arial"/>
                <w:lang w:eastAsia="en-GB"/>
              </w:rPr>
              <w:t>Total income items</w:t>
            </w:r>
          </w:p>
        </w:tc>
        <w:tc>
          <w:tcPr>
            <w:tcW w:w="1582" w:type="dxa"/>
            <w:tcBorders>
              <w:top w:val="nil"/>
              <w:left w:val="nil"/>
              <w:bottom w:val="single" w:sz="4" w:space="0" w:color="auto"/>
              <w:right w:val="nil"/>
            </w:tcBorders>
            <w:shd w:val="clear" w:color="auto" w:fill="auto"/>
            <w:vAlign w:val="center"/>
            <w:hideMark/>
          </w:tcPr>
          <w:p w14:paraId="559466E2" w14:textId="77777777" w:rsidR="0060787D" w:rsidRPr="0060787D" w:rsidRDefault="0060787D" w:rsidP="0060787D">
            <w:pPr>
              <w:spacing w:after="0" w:line="240" w:lineRule="auto"/>
              <w:jc w:val="right"/>
              <w:rPr>
                <w:rFonts w:ascii="Arial" w:eastAsia="Times New Roman" w:hAnsi="Arial" w:cs="Arial"/>
                <w:lang w:eastAsia="en-GB"/>
              </w:rPr>
            </w:pPr>
            <w:r w:rsidRPr="0060787D">
              <w:rPr>
                <w:rFonts w:ascii="Arial" w:eastAsia="Times New Roman" w:hAnsi="Arial" w:cs="Arial"/>
                <w:lang w:eastAsia="en-GB"/>
              </w:rPr>
              <w:t>109</w:t>
            </w:r>
          </w:p>
        </w:tc>
        <w:tc>
          <w:tcPr>
            <w:tcW w:w="1583" w:type="dxa"/>
            <w:tcBorders>
              <w:top w:val="nil"/>
              <w:left w:val="nil"/>
              <w:bottom w:val="single" w:sz="4" w:space="0" w:color="auto"/>
              <w:right w:val="nil"/>
            </w:tcBorders>
            <w:shd w:val="clear" w:color="auto" w:fill="auto"/>
            <w:vAlign w:val="center"/>
            <w:hideMark/>
          </w:tcPr>
          <w:p w14:paraId="393BD620" w14:textId="77777777" w:rsidR="0060787D" w:rsidRPr="0060787D" w:rsidRDefault="0060787D" w:rsidP="0060787D">
            <w:pPr>
              <w:spacing w:after="0" w:line="240" w:lineRule="auto"/>
              <w:jc w:val="right"/>
              <w:rPr>
                <w:rFonts w:ascii="Arial" w:eastAsia="Times New Roman" w:hAnsi="Arial" w:cs="Arial"/>
                <w:lang w:eastAsia="en-GB"/>
              </w:rPr>
            </w:pPr>
            <w:r w:rsidRPr="0060787D">
              <w:rPr>
                <w:rFonts w:ascii="Arial" w:eastAsia="Times New Roman" w:hAnsi="Arial" w:cs="Arial"/>
                <w:lang w:eastAsia="en-GB"/>
              </w:rPr>
              <w:t>93</w:t>
            </w:r>
          </w:p>
        </w:tc>
        <w:tc>
          <w:tcPr>
            <w:tcW w:w="1583" w:type="dxa"/>
            <w:tcBorders>
              <w:top w:val="nil"/>
              <w:left w:val="nil"/>
              <w:bottom w:val="single" w:sz="4" w:space="0" w:color="auto"/>
              <w:right w:val="nil"/>
            </w:tcBorders>
            <w:shd w:val="clear" w:color="auto" w:fill="auto"/>
            <w:vAlign w:val="center"/>
            <w:hideMark/>
          </w:tcPr>
          <w:p w14:paraId="4792644A" w14:textId="77777777" w:rsidR="0060787D" w:rsidRPr="0060787D" w:rsidRDefault="0060787D" w:rsidP="0060787D">
            <w:pPr>
              <w:spacing w:after="0" w:line="240" w:lineRule="auto"/>
              <w:jc w:val="right"/>
              <w:rPr>
                <w:rFonts w:ascii="Arial" w:eastAsia="Times New Roman" w:hAnsi="Arial" w:cs="Arial"/>
                <w:lang w:eastAsia="en-GB"/>
              </w:rPr>
            </w:pPr>
            <w:r w:rsidRPr="0060787D">
              <w:rPr>
                <w:rFonts w:ascii="Arial" w:eastAsia="Times New Roman" w:hAnsi="Arial" w:cs="Arial"/>
                <w:lang w:eastAsia="en-GB"/>
              </w:rPr>
              <w:t>567</w:t>
            </w:r>
          </w:p>
        </w:tc>
        <w:tc>
          <w:tcPr>
            <w:tcW w:w="1583" w:type="dxa"/>
            <w:tcBorders>
              <w:top w:val="nil"/>
              <w:left w:val="nil"/>
              <w:bottom w:val="single" w:sz="4" w:space="0" w:color="auto"/>
              <w:right w:val="nil"/>
            </w:tcBorders>
            <w:shd w:val="clear" w:color="auto" w:fill="auto"/>
            <w:vAlign w:val="center"/>
            <w:hideMark/>
          </w:tcPr>
          <w:p w14:paraId="561E3C7B" w14:textId="77777777" w:rsidR="0060787D" w:rsidRPr="0060787D" w:rsidRDefault="0060787D" w:rsidP="0060787D">
            <w:pPr>
              <w:spacing w:after="0" w:line="240" w:lineRule="auto"/>
              <w:jc w:val="right"/>
              <w:rPr>
                <w:rFonts w:ascii="Arial" w:eastAsia="Times New Roman" w:hAnsi="Arial" w:cs="Arial"/>
                <w:lang w:eastAsia="en-GB"/>
              </w:rPr>
            </w:pPr>
            <w:r w:rsidRPr="0060787D">
              <w:rPr>
                <w:rFonts w:ascii="Arial" w:eastAsia="Times New Roman" w:hAnsi="Arial" w:cs="Arial"/>
                <w:lang w:eastAsia="en-GB"/>
              </w:rPr>
              <w:t>60</w:t>
            </w:r>
          </w:p>
        </w:tc>
        <w:tc>
          <w:tcPr>
            <w:tcW w:w="1583" w:type="dxa"/>
            <w:tcBorders>
              <w:top w:val="nil"/>
              <w:left w:val="nil"/>
              <w:bottom w:val="single" w:sz="4" w:space="0" w:color="auto"/>
              <w:right w:val="nil"/>
            </w:tcBorders>
            <w:shd w:val="clear" w:color="auto" w:fill="auto"/>
            <w:vAlign w:val="center"/>
            <w:hideMark/>
          </w:tcPr>
          <w:p w14:paraId="61030D1A" w14:textId="77777777" w:rsidR="0060787D" w:rsidRPr="0060787D" w:rsidRDefault="0060787D" w:rsidP="0060787D">
            <w:pPr>
              <w:spacing w:after="0" w:line="240" w:lineRule="auto"/>
              <w:jc w:val="right"/>
              <w:rPr>
                <w:rFonts w:ascii="Arial" w:eastAsia="Times New Roman" w:hAnsi="Arial" w:cs="Arial"/>
                <w:lang w:eastAsia="en-GB"/>
              </w:rPr>
            </w:pPr>
            <w:r w:rsidRPr="0060787D">
              <w:rPr>
                <w:rFonts w:ascii="Arial" w:eastAsia="Times New Roman" w:hAnsi="Arial" w:cs="Arial"/>
                <w:lang w:eastAsia="en-GB"/>
              </w:rPr>
              <w:t>212</w:t>
            </w:r>
          </w:p>
        </w:tc>
        <w:tc>
          <w:tcPr>
            <w:tcW w:w="1583" w:type="dxa"/>
            <w:tcBorders>
              <w:top w:val="nil"/>
              <w:left w:val="nil"/>
              <w:bottom w:val="single" w:sz="4" w:space="0" w:color="auto"/>
              <w:right w:val="single" w:sz="4" w:space="0" w:color="auto"/>
            </w:tcBorders>
            <w:shd w:val="clear" w:color="auto" w:fill="auto"/>
            <w:vAlign w:val="center"/>
            <w:hideMark/>
          </w:tcPr>
          <w:p w14:paraId="4D1A9728" w14:textId="77777777" w:rsidR="0060787D" w:rsidRPr="0060787D" w:rsidRDefault="0060787D" w:rsidP="0060787D">
            <w:pPr>
              <w:spacing w:after="0" w:line="240" w:lineRule="auto"/>
              <w:jc w:val="right"/>
              <w:rPr>
                <w:rFonts w:ascii="Arial" w:eastAsia="Times New Roman" w:hAnsi="Arial" w:cs="Arial"/>
                <w:lang w:eastAsia="en-GB"/>
              </w:rPr>
            </w:pPr>
            <w:r w:rsidRPr="0060787D">
              <w:rPr>
                <w:rFonts w:ascii="Arial" w:eastAsia="Times New Roman" w:hAnsi="Arial" w:cs="Arial"/>
                <w:lang w:eastAsia="en-GB"/>
              </w:rPr>
              <w:t>1,041</w:t>
            </w:r>
          </w:p>
        </w:tc>
      </w:tr>
      <w:tr w:rsidR="003D01BC" w:rsidRPr="0060787D" w14:paraId="525FC606" w14:textId="77777777" w:rsidTr="005E1C71">
        <w:trPr>
          <w:trHeight w:val="450"/>
        </w:trPr>
        <w:tc>
          <w:tcPr>
            <w:tcW w:w="4673" w:type="dxa"/>
            <w:tcBorders>
              <w:top w:val="nil"/>
              <w:left w:val="single" w:sz="4" w:space="0" w:color="auto"/>
              <w:bottom w:val="single" w:sz="4" w:space="0" w:color="auto"/>
              <w:right w:val="nil"/>
            </w:tcBorders>
            <w:shd w:val="clear" w:color="auto" w:fill="auto"/>
            <w:vAlign w:val="center"/>
            <w:hideMark/>
          </w:tcPr>
          <w:p w14:paraId="0F344E26" w14:textId="77777777" w:rsidR="0060787D" w:rsidRPr="005034B6" w:rsidRDefault="0060787D" w:rsidP="0060787D">
            <w:pPr>
              <w:spacing w:after="0" w:line="240" w:lineRule="auto"/>
              <w:rPr>
                <w:rFonts w:ascii="Arial" w:eastAsia="Times New Roman" w:hAnsi="Arial" w:cs="Arial"/>
                <w:lang w:eastAsia="en-GB"/>
              </w:rPr>
            </w:pPr>
            <w:r w:rsidRPr="005034B6">
              <w:rPr>
                <w:rFonts w:ascii="Arial" w:eastAsia="Times New Roman" w:hAnsi="Arial" w:cs="Arial"/>
                <w:lang w:eastAsia="en-GB"/>
              </w:rPr>
              <w:t>Total as % of income</w:t>
            </w:r>
          </w:p>
        </w:tc>
        <w:tc>
          <w:tcPr>
            <w:tcW w:w="1582" w:type="dxa"/>
            <w:tcBorders>
              <w:top w:val="nil"/>
              <w:left w:val="nil"/>
              <w:bottom w:val="single" w:sz="4" w:space="0" w:color="auto"/>
              <w:right w:val="nil"/>
            </w:tcBorders>
            <w:shd w:val="clear" w:color="auto" w:fill="auto"/>
            <w:vAlign w:val="center"/>
            <w:hideMark/>
          </w:tcPr>
          <w:p w14:paraId="64A6B090" w14:textId="77777777" w:rsidR="0060787D" w:rsidRPr="005034B6" w:rsidRDefault="0060787D" w:rsidP="0060787D">
            <w:pPr>
              <w:spacing w:after="0" w:line="240" w:lineRule="auto"/>
              <w:jc w:val="right"/>
              <w:rPr>
                <w:rFonts w:ascii="Arial" w:eastAsia="Times New Roman" w:hAnsi="Arial" w:cs="Arial"/>
                <w:lang w:eastAsia="en-GB"/>
              </w:rPr>
            </w:pPr>
            <w:r w:rsidRPr="005034B6">
              <w:rPr>
                <w:rFonts w:ascii="Arial" w:eastAsia="Times New Roman" w:hAnsi="Arial" w:cs="Arial"/>
                <w:lang w:eastAsia="en-GB"/>
              </w:rPr>
              <w:t>0.8%</w:t>
            </w:r>
          </w:p>
        </w:tc>
        <w:tc>
          <w:tcPr>
            <w:tcW w:w="1583" w:type="dxa"/>
            <w:tcBorders>
              <w:top w:val="nil"/>
              <w:left w:val="nil"/>
              <w:bottom w:val="single" w:sz="4" w:space="0" w:color="auto"/>
              <w:right w:val="nil"/>
            </w:tcBorders>
            <w:shd w:val="clear" w:color="auto" w:fill="auto"/>
            <w:vAlign w:val="center"/>
            <w:hideMark/>
          </w:tcPr>
          <w:p w14:paraId="69D07D52" w14:textId="77777777" w:rsidR="0060787D" w:rsidRPr="005034B6" w:rsidRDefault="0060787D" w:rsidP="0060787D">
            <w:pPr>
              <w:spacing w:after="0" w:line="240" w:lineRule="auto"/>
              <w:jc w:val="right"/>
              <w:rPr>
                <w:rFonts w:ascii="Arial" w:eastAsia="Times New Roman" w:hAnsi="Arial" w:cs="Arial"/>
                <w:lang w:eastAsia="en-GB"/>
              </w:rPr>
            </w:pPr>
            <w:r w:rsidRPr="005034B6">
              <w:rPr>
                <w:rFonts w:ascii="Arial" w:eastAsia="Times New Roman" w:hAnsi="Arial" w:cs="Arial"/>
                <w:lang w:eastAsia="en-GB"/>
              </w:rPr>
              <w:t>1.7%</w:t>
            </w:r>
          </w:p>
        </w:tc>
        <w:tc>
          <w:tcPr>
            <w:tcW w:w="1583" w:type="dxa"/>
            <w:tcBorders>
              <w:top w:val="nil"/>
              <w:left w:val="nil"/>
              <w:bottom w:val="single" w:sz="4" w:space="0" w:color="auto"/>
              <w:right w:val="nil"/>
            </w:tcBorders>
            <w:shd w:val="clear" w:color="auto" w:fill="auto"/>
            <w:vAlign w:val="center"/>
            <w:hideMark/>
          </w:tcPr>
          <w:p w14:paraId="7E649A09" w14:textId="77777777" w:rsidR="0060787D" w:rsidRPr="005034B6" w:rsidRDefault="0060787D" w:rsidP="0060787D">
            <w:pPr>
              <w:spacing w:after="0" w:line="240" w:lineRule="auto"/>
              <w:jc w:val="right"/>
              <w:rPr>
                <w:rFonts w:ascii="Arial" w:eastAsia="Times New Roman" w:hAnsi="Arial" w:cs="Arial"/>
                <w:lang w:eastAsia="en-GB"/>
              </w:rPr>
            </w:pPr>
            <w:r w:rsidRPr="005034B6">
              <w:rPr>
                <w:rFonts w:ascii="Arial" w:eastAsia="Times New Roman" w:hAnsi="Arial" w:cs="Arial"/>
                <w:lang w:eastAsia="en-GB"/>
              </w:rPr>
              <w:t>6.3%</w:t>
            </w:r>
          </w:p>
        </w:tc>
        <w:tc>
          <w:tcPr>
            <w:tcW w:w="1583" w:type="dxa"/>
            <w:tcBorders>
              <w:top w:val="nil"/>
              <w:left w:val="nil"/>
              <w:bottom w:val="single" w:sz="4" w:space="0" w:color="auto"/>
              <w:right w:val="nil"/>
            </w:tcBorders>
            <w:shd w:val="clear" w:color="auto" w:fill="auto"/>
            <w:vAlign w:val="center"/>
            <w:hideMark/>
          </w:tcPr>
          <w:p w14:paraId="74765702" w14:textId="77777777" w:rsidR="0060787D" w:rsidRPr="005034B6" w:rsidRDefault="0060787D" w:rsidP="0060787D">
            <w:pPr>
              <w:spacing w:after="0" w:line="240" w:lineRule="auto"/>
              <w:jc w:val="right"/>
              <w:rPr>
                <w:rFonts w:ascii="Arial" w:eastAsia="Times New Roman" w:hAnsi="Arial" w:cs="Arial"/>
                <w:lang w:eastAsia="en-GB"/>
              </w:rPr>
            </w:pPr>
            <w:r w:rsidRPr="005034B6">
              <w:rPr>
                <w:rFonts w:ascii="Arial" w:eastAsia="Times New Roman" w:hAnsi="Arial" w:cs="Arial"/>
                <w:lang w:eastAsia="en-GB"/>
              </w:rPr>
              <w:t>1.0%</w:t>
            </w:r>
          </w:p>
        </w:tc>
        <w:tc>
          <w:tcPr>
            <w:tcW w:w="1583" w:type="dxa"/>
            <w:tcBorders>
              <w:top w:val="nil"/>
              <w:left w:val="nil"/>
              <w:bottom w:val="single" w:sz="4" w:space="0" w:color="auto"/>
              <w:right w:val="nil"/>
            </w:tcBorders>
            <w:shd w:val="clear" w:color="auto" w:fill="auto"/>
            <w:vAlign w:val="center"/>
            <w:hideMark/>
          </w:tcPr>
          <w:p w14:paraId="7AF4DEC9" w14:textId="77777777" w:rsidR="0060787D" w:rsidRPr="005034B6" w:rsidRDefault="0060787D" w:rsidP="0060787D">
            <w:pPr>
              <w:spacing w:after="0" w:line="240" w:lineRule="auto"/>
              <w:jc w:val="right"/>
              <w:rPr>
                <w:rFonts w:ascii="Arial" w:eastAsia="Times New Roman" w:hAnsi="Arial" w:cs="Arial"/>
                <w:lang w:eastAsia="en-GB"/>
              </w:rPr>
            </w:pPr>
            <w:r w:rsidRPr="005034B6">
              <w:rPr>
                <w:rFonts w:ascii="Arial" w:eastAsia="Times New Roman" w:hAnsi="Arial" w:cs="Arial"/>
                <w:lang w:eastAsia="en-GB"/>
              </w:rPr>
              <w:t>14.4%</w:t>
            </w:r>
          </w:p>
        </w:tc>
        <w:tc>
          <w:tcPr>
            <w:tcW w:w="1583" w:type="dxa"/>
            <w:tcBorders>
              <w:top w:val="nil"/>
              <w:left w:val="nil"/>
              <w:bottom w:val="single" w:sz="4" w:space="0" w:color="auto"/>
              <w:right w:val="single" w:sz="4" w:space="0" w:color="auto"/>
            </w:tcBorders>
            <w:shd w:val="clear" w:color="auto" w:fill="auto"/>
            <w:vAlign w:val="center"/>
            <w:hideMark/>
          </w:tcPr>
          <w:p w14:paraId="1F13B6FD" w14:textId="77777777" w:rsidR="0060787D" w:rsidRPr="00A03DB7" w:rsidRDefault="0060787D" w:rsidP="0060787D">
            <w:pPr>
              <w:spacing w:after="0" w:line="240" w:lineRule="auto"/>
              <w:jc w:val="right"/>
              <w:rPr>
                <w:rFonts w:ascii="Arial" w:eastAsia="Times New Roman" w:hAnsi="Arial" w:cs="Arial"/>
                <w:lang w:eastAsia="en-GB"/>
              </w:rPr>
            </w:pPr>
            <w:r w:rsidRPr="005034B6">
              <w:rPr>
                <w:rFonts w:ascii="Arial" w:eastAsia="Times New Roman" w:hAnsi="Arial" w:cs="Arial"/>
                <w:lang w:eastAsia="en-GB"/>
              </w:rPr>
              <w:t>2.9</w:t>
            </w:r>
            <w:r w:rsidRPr="00A03DB7">
              <w:rPr>
                <w:rFonts w:ascii="Arial" w:eastAsia="Times New Roman" w:hAnsi="Arial" w:cs="Arial"/>
                <w:lang w:eastAsia="en-GB"/>
              </w:rPr>
              <w:t>%</w:t>
            </w:r>
          </w:p>
        </w:tc>
      </w:tr>
      <w:tr w:rsidR="003D01BC" w:rsidRPr="0060787D" w14:paraId="284D9CFB" w14:textId="77777777" w:rsidTr="005E1C71">
        <w:trPr>
          <w:trHeight w:val="450"/>
        </w:trPr>
        <w:tc>
          <w:tcPr>
            <w:tcW w:w="4673" w:type="dxa"/>
            <w:tcBorders>
              <w:top w:val="nil"/>
              <w:left w:val="single" w:sz="4" w:space="0" w:color="auto"/>
              <w:bottom w:val="single" w:sz="4" w:space="0" w:color="auto"/>
              <w:right w:val="nil"/>
            </w:tcBorders>
            <w:shd w:val="clear" w:color="auto" w:fill="auto"/>
            <w:vAlign w:val="center"/>
            <w:hideMark/>
          </w:tcPr>
          <w:p w14:paraId="3F3CC446" w14:textId="688B9C31" w:rsidR="0060787D" w:rsidRPr="0060787D" w:rsidRDefault="0060787D" w:rsidP="0060787D">
            <w:pPr>
              <w:spacing w:after="0" w:line="240" w:lineRule="auto"/>
              <w:rPr>
                <w:rFonts w:ascii="Arial" w:eastAsia="Times New Roman" w:hAnsi="Arial" w:cs="Arial"/>
                <w:lang w:eastAsia="en-GB"/>
              </w:rPr>
            </w:pPr>
            <w:r w:rsidRPr="0060787D">
              <w:rPr>
                <w:rFonts w:ascii="Arial" w:eastAsia="Times New Roman" w:hAnsi="Arial" w:cs="Arial"/>
                <w:lang w:eastAsia="en-GB"/>
              </w:rPr>
              <w:t xml:space="preserve">Total as % </w:t>
            </w:r>
            <w:r w:rsidR="007710B8">
              <w:rPr>
                <w:rFonts w:ascii="Arial" w:eastAsia="Times New Roman" w:hAnsi="Arial" w:cs="Arial"/>
                <w:lang w:eastAsia="en-GB"/>
              </w:rPr>
              <w:t xml:space="preserve">of </w:t>
            </w:r>
            <w:r w:rsidRPr="0060787D">
              <w:rPr>
                <w:rFonts w:ascii="Arial" w:eastAsia="Times New Roman" w:hAnsi="Arial" w:cs="Arial"/>
                <w:lang w:eastAsia="en-GB"/>
              </w:rPr>
              <w:t>income (2017-18)</w:t>
            </w:r>
          </w:p>
        </w:tc>
        <w:tc>
          <w:tcPr>
            <w:tcW w:w="1582" w:type="dxa"/>
            <w:tcBorders>
              <w:top w:val="nil"/>
              <w:left w:val="nil"/>
              <w:bottom w:val="single" w:sz="4" w:space="0" w:color="auto"/>
              <w:right w:val="nil"/>
            </w:tcBorders>
            <w:shd w:val="clear" w:color="auto" w:fill="auto"/>
            <w:vAlign w:val="center"/>
            <w:hideMark/>
          </w:tcPr>
          <w:p w14:paraId="19428115" w14:textId="77777777" w:rsidR="0060787D" w:rsidRPr="0060787D" w:rsidRDefault="0060787D" w:rsidP="0060787D">
            <w:pPr>
              <w:spacing w:after="0" w:line="240" w:lineRule="auto"/>
              <w:jc w:val="right"/>
              <w:rPr>
                <w:rFonts w:ascii="Arial" w:eastAsia="Times New Roman" w:hAnsi="Arial" w:cs="Arial"/>
                <w:lang w:eastAsia="en-GB"/>
              </w:rPr>
            </w:pPr>
            <w:r w:rsidRPr="0060787D">
              <w:rPr>
                <w:rFonts w:ascii="Arial" w:eastAsia="Times New Roman" w:hAnsi="Arial" w:cs="Arial"/>
                <w:lang w:eastAsia="en-GB"/>
              </w:rPr>
              <w:t>0.9%</w:t>
            </w:r>
          </w:p>
        </w:tc>
        <w:tc>
          <w:tcPr>
            <w:tcW w:w="1583" w:type="dxa"/>
            <w:tcBorders>
              <w:top w:val="nil"/>
              <w:left w:val="nil"/>
              <w:bottom w:val="single" w:sz="4" w:space="0" w:color="auto"/>
              <w:right w:val="nil"/>
            </w:tcBorders>
            <w:shd w:val="clear" w:color="auto" w:fill="auto"/>
            <w:vAlign w:val="center"/>
            <w:hideMark/>
          </w:tcPr>
          <w:p w14:paraId="275EB954" w14:textId="77777777" w:rsidR="0060787D" w:rsidRPr="0060787D" w:rsidRDefault="0060787D" w:rsidP="0060787D">
            <w:pPr>
              <w:spacing w:after="0" w:line="240" w:lineRule="auto"/>
              <w:jc w:val="right"/>
              <w:rPr>
                <w:rFonts w:ascii="Arial" w:eastAsia="Times New Roman" w:hAnsi="Arial" w:cs="Arial"/>
                <w:lang w:eastAsia="en-GB"/>
              </w:rPr>
            </w:pPr>
            <w:r w:rsidRPr="0060787D">
              <w:rPr>
                <w:rFonts w:ascii="Arial" w:eastAsia="Times New Roman" w:hAnsi="Arial" w:cs="Arial"/>
                <w:lang w:eastAsia="en-GB"/>
              </w:rPr>
              <w:t>2.1%</w:t>
            </w:r>
          </w:p>
        </w:tc>
        <w:tc>
          <w:tcPr>
            <w:tcW w:w="1583" w:type="dxa"/>
            <w:tcBorders>
              <w:top w:val="nil"/>
              <w:left w:val="nil"/>
              <w:bottom w:val="single" w:sz="4" w:space="0" w:color="auto"/>
              <w:right w:val="nil"/>
            </w:tcBorders>
            <w:shd w:val="clear" w:color="auto" w:fill="auto"/>
            <w:vAlign w:val="center"/>
            <w:hideMark/>
          </w:tcPr>
          <w:p w14:paraId="77F895EB" w14:textId="77777777" w:rsidR="0060787D" w:rsidRPr="0060787D" w:rsidRDefault="0060787D" w:rsidP="0060787D">
            <w:pPr>
              <w:spacing w:after="0" w:line="240" w:lineRule="auto"/>
              <w:jc w:val="right"/>
              <w:rPr>
                <w:rFonts w:ascii="Arial" w:eastAsia="Times New Roman" w:hAnsi="Arial" w:cs="Arial"/>
                <w:lang w:eastAsia="en-GB"/>
              </w:rPr>
            </w:pPr>
            <w:r w:rsidRPr="0060787D">
              <w:rPr>
                <w:rFonts w:ascii="Arial" w:eastAsia="Times New Roman" w:hAnsi="Arial" w:cs="Arial"/>
                <w:lang w:eastAsia="en-GB"/>
              </w:rPr>
              <w:t>5.6%</w:t>
            </w:r>
          </w:p>
        </w:tc>
        <w:tc>
          <w:tcPr>
            <w:tcW w:w="1583" w:type="dxa"/>
            <w:tcBorders>
              <w:top w:val="nil"/>
              <w:left w:val="nil"/>
              <w:bottom w:val="single" w:sz="4" w:space="0" w:color="auto"/>
              <w:right w:val="nil"/>
            </w:tcBorders>
            <w:shd w:val="clear" w:color="auto" w:fill="auto"/>
            <w:vAlign w:val="center"/>
            <w:hideMark/>
          </w:tcPr>
          <w:p w14:paraId="169C4060" w14:textId="77777777" w:rsidR="0060787D" w:rsidRPr="0060787D" w:rsidRDefault="0060787D" w:rsidP="0060787D">
            <w:pPr>
              <w:spacing w:after="0" w:line="240" w:lineRule="auto"/>
              <w:jc w:val="right"/>
              <w:rPr>
                <w:rFonts w:ascii="Arial" w:eastAsia="Times New Roman" w:hAnsi="Arial" w:cs="Arial"/>
                <w:lang w:eastAsia="en-GB"/>
              </w:rPr>
            </w:pPr>
            <w:r w:rsidRPr="0060787D">
              <w:rPr>
                <w:rFonts w:ascii="Arial" w:eastAsia="Times New Roman" w:hAnsi="Arial" w:cs="Arial"/>
                <w:lang w:eastAsia="en-GB"/>
              </w:rPr>
              <w:t>1.1%</w:t>
            </w:r>
          </w:p>
        </w:tc>
        <w:tc>
          <w:tcPr>
            <w:tcW w:w="1583" w:type="dxa"/>
            <w:tcBorders>
              <w:top w:val="nil"/>
              <w:left w:val="nil"/>
              <w:bottom w:val="single" w:sz="4" w:space="0" w:color="auto"/>
              <w:right w:val="nil"/>
            </w:tcBorders>
            <w:shd w:val="clear" w:color="auto" w:fill="auto"/>
            <w:vAlign w:val="center"/>
            <w:hideMark/>
          </w:tcPr>
          <w:p w14:paraId="035E5ADA" w14:textId="77777777" w:rsidR="0060787D" w:rsidRPr="0060787D" w:rsidRDefault="0060787D" w:rsidP="0060787D">
            <w:pPr>
              <w:spacing w:after="0" w:line="240" w:lineRule="auto"/>
              <w:jc w:val="right"/>
              <w:rPr>
                <w:rFonts w:ascii="Arial" w:eastAsia="Times New Roman" w:hAnsi="Arial" w:cs="Arial"/>
                <w:lang w:eastAsia="en-GB"/>
              </w:rPr>
            </w:pPr>
            <w:r w:rsidRPr="0060787D">
              <w:rPr>
                <w:rFonts w:ascii="Arial" w:eastAsia="Times New Roman" w:hAnsi="Arial" w:cs="Arial"/>
                <w:lang w:eastAsia="en-GB"/>
              </w:rPr>
              <w:t>11.9%</w:t>
            </w:r>
          </w:p>
        </w:tc>
        <w:tc>
          <w:tcPr>
            <w:tcW w:w="1583" w:type="dxa"/>
            <w:tcBorders>
              <w:top w:val="nil"/>
              <w:left w:val="nil"/>
              <w:bottom w:val="single" w:sz="4" w:space="0" w:color="auto"/>
              <w:right w:val="single" w:sz="4" w:space="0" w:color="auto"/>
            </w:tcBorders>
            <w:shd w:val="clear" w:color="auto" w:fill="auto"/>
            <w:vAlign w:val="center"/>
            <w:hideMark/>
          </w:tcPr>
          <w:p w14:paraId="55D0049B" w14:textId="77777777" w:rsidR="0060787D" w:rsidRPr="0060787D" w:rsidRDefault="0060787D" w:rsidP="0060787D">
            <w:pPr>
              <w:spacing w:after="0" w:line="240" w:lineRule="auto"/>
              <w:jc w:val="right"/>
              <w:rPr>
                <w:rFonts w:ascii="Arial" w:eastAsia="Times New Roman" w:hAnsi="Arial" w:cs="Arial"/>
                <w:lang w:eastAsia="en-GB"/>
              </w:rPr>
            </w:pPr>
            <w:r w:rsidRPr="0060787D">
              <w:rPr>
                <w:rFonts w:ascii="Arial" w:eastAsia="Times New Roman" w:hAnsi="Arial" w:cs="Arial"/>
                <w:lang w:eastAsia="en-GB"/>
              </w:rPr>
              <w:t>2.7%</w:t>
            </w:r>
          </w:p>
        </w:tc>
      </w:tr>
    </w:tbl>
    <w:p w14:paraId="3C621C3C" w14:textId="6D788173" w:rsidR="00AB7607" w:rsidRDefault="00AB7607" w:rsidP="0060787D">
      <w:pPr>
        <w:pStyle w:val="Heading4"/>
        <w:sectPr w:rsidR="00AB7607" w:rsidSect="00A4479C">
          <w:headerReference w:type="default" r:id="rId21"/>
          <w:pgSz w:w="16838" w:h="11906" w:orient="landscape"/>
          <w:pgMar w:top="1440" w:right="1440" w:bottom="851" w:left="1440" w:header="397" w:footer="397" w:gutter="0"/>
          <w:cols w:space="708"/>
          <w:docGrid w:linePitch="360"/>
        </w:sectPr>
      </w:pPr>
    </w:p>
    <w:p w14:paraId="5DB46767" w14:textId="271F0E68" w:rsidR="003E7D09" w:rsidRDefault="003E7D09" w:rsidP="0060787D">
      <w:pPr>
        <w:pStyle w:val="Heading4"/>
      </w:pPr>
      <w:r w:rsidRPr="009028F3">
        <w:lastRenderedPageBreak/>
        <w:t>Figure 1: TRAC full economic cost surplus/deficit by activity</w:t>
      </w:r>
      <w:r w:rsidRPr="008717D2">
        <w:t xml:space="preserve">, </w:t>
      </w:r>
      <w:r w:rsidR="00E95D8D" w:rsidRPr="008717D2">
        <w:t>2018-19</w:t>
      </w:r>
      <w:r w:rsidRPr="009028F3">
        <w:t xml:space="preserve"> (higher education institutions in England and Northern Ireland)</w:t>
      </w:r>
    </w:p>
    <w:p w14:paraId="6D788492" w14:textId="45CC16ED" w:rsidR="007928CD" w:rsidRPr="007928CD" w:rsidRDefault="003236B5" w:rsidP="001E4BEB">
      <w:r>
        <w:rPr>
          <w:noProof/>
        </w:rPr>
        <w:drawing>
          <wp:inline distT="0" distB="0" distL="0" distR="0" wp14:anchorId="403FD09A" wp14:editId="0DB91A81">
            <wp:extent cx="5742940" cy="7687945"/>
            <wp:effectExtent l="0" t="0" r="0" b="8255"/>
            <wp:docPr id="4" name="Picture 4" descr="Bar chart showing TRAC full economic cost surplus or deficit for higher education institutions in England and Northern Ireland by activity - Publicly funded teaching; non publicly funded teaching; research; other income-generating activity; other non-commercial activity; to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r chart showing TRAC full economic cost surplus or deficit for higher education institutions in England and Northern Ireland by activity - Publicly funded teaching; non publicly funded teaching; research; other income-generating activity; other non-commercial activity; tota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42940" cy="7687945"/>
                    </a:xfrm>
                    <a:prstGeom prst="rect">
                      <a:avLst/>
                    </a:prstGeom>
                    <a:noFill/>
                  </pic:spPr>
                </pic:pic>
              </a:graphicData>
            </a:graphic>
          </wp:inline>
        </w:drawing>
      </w:r>
    </w:p>
    <w:p w14:paraId="05DEC101" w14:textId="77777777" w:rsidR="003C1854" w:rsidRDefault="003C1854" w:rsidP="003C1854"/>
    <w:p w14:paraId="76AC8EDE" w14:textId="6C29423B" w:rsidR="00F67D65" w:rsidRDefault="00F67D65" w:rsidP="003C1854">
      <w:pPr>
        <w:sectPr w:rsidR="00F67D65">
          <w:pgSz w:w="11906" w:h="16838"/>
          <w:pgMar w:top="1440" w:right="1440" w:bottom="1440" w:left="1440" w:header="708" w:footer="708" w:gutter="0"/>
          <w:cols w:space="708"/>
          <w:docGrid w:linePitch="360"/>
        </w:sectPr>
      </w:pPr>
    </w:p>
    <w:p w14:paraId="64ACE91D" w14:textId="77777777" w:rsidR="00F71E43" w:rsidRDefault="00F71E43" w:rsidP="00F71E43">
      <w:pPr>
        <w:pStyle w:val="Numberedtext1"/>
      </w:pPr>
      <w:r>
        <w:lastRenderedPageBreak/>
        <w:t>Table 2 provides further analysis of research income and costs, analysed by research sponsor type. This shows that:</w:t>
      </w:r>
    </w:p>
    <w:p w14:paraId="5877EAC8" w14:textId="18251D71" w:rsidR="00F71E43" w:rsidRDefault="00F71E43" w:rsidP="00F71E43">
      <w:pPr>
        <w:pStyle w:val="Numberedtext2"/>
      </w:pPr>
      <w:r>
        <w:t>Research council funded research activity account</w:t>
      </w:r>
      <w:r w:rsidR="001B006B">
        <w:t>ed</w:t>
      </w:r>
      <w:r>
        <w:t xml:space="preserve"> for</w:t>
      </w:r>
      <w:r w:rsidR="00E46C13">
        <w:t xml:space="preserve"> </w:t>
      </w:r>
      <w:r w:rsidR="00093118">
        <w:t>20.</w:t>
      </w:r>
      <w:r w:rsidR="004B5AB1">
        <w:t>1</w:t>
      </w:r>
      <w:r w:rsidR="00E46C13">
        <w:t xml:space="preserve"> per cent of total research costs with a recovery of 7</w:t>
      </w:r>
      <w:r w:rsidR="001B006B">
        <w:t>3</w:t>
      </w:r>
      <w:r w:rsidR="00E46C13">
        <w:t>.</w:t>
      </w:r>
      <w:r w:rsidR="00A30301">
        <w:t>7</w:t>
      </w:r>
      <w:r w:rsidR="00E46C13">
        <w:t xml:space="preserve"> per cent of full economic cost</w:t>
      </w:r>
      <w:r w:rsidR="00A30301">
        <w:t>, compared with 71.</w:t>
      </w:r>
      <w:r w:rsidR="001B006B">
        <w:t>7</w:t>
      </w:r>
      <w:r w:rsidR="00A30301">
        <w:t xml:space="preserve"> per cent in 2017</w:t>
      </w:r>
      <w:r w:rsidR="00ED56E2">
        <w:t>-18</w:t>
      </w:r>
      <w:r w:rsidR="00A30301">
        <w:t xml:space="preserve">. </w:t>
      </w:r>
    </w:p>
    <w:p w14:paraId="0B76CE0E" w14:textId="16D1B739" w:rsidR="00F71E43" w:rsidRPr="004125B8" w:rsidRDefault="00F71E43" w:rsidP="00F71E43">
      <w:pPr>
        <w:pStyle w:val="Numberedtext2"/>
      </w:pPr>
      <w:r>
        <w:t>Cost recovery on ‘Training and supervision o</w:t>
      </w:r>
      <w:r w:rsidR="003E3C11">
        <w:t>f</w:t>
      </w:r>
      <w:r>
        <w:t xml:space="preserve"> postgraduate research students’ continues to show the lowest recover</w:t>
      </w:r>
      <w:r w:rsidR="00E46C13">
        <w:t xml:space="preserve">y across the externally sponsored research activity, </w:t>
      </w:r>
      <w:r w:rsidR="00A30301">
        <w:t>at 4</w:t>
      </w:r>
      <w:r w:rsidR="00753DED">
        <w:t>5</w:t>
      </w:r>
      <w:r w:rsidR="00A30301">
        <w:t>.</w:t>
      </w:r>
      <w:r w:rsidR="00753DED">
        <w:t>1</w:t>
      </w:r>
      <w:r w:rsidR="00A30301">
        <w:t xml:space="preserve"> per cent</w:t>
      </w:r>
      <w:r w:rsidR="00A30301" w:rsidRPr="004125B8">
        <w:t>. Postgraduate full-time equivalent student numbers</w:t>
      </w:r>
      <w:r w:rsidR="001917BB" w:rsidRPr="004125B8">
        <w:t>,</w:t>
      </w:r>
      <w:r w:rsidR="00A30301" w:rsidRPr="004125B8">
        <w:t xml:space="preserve"> a</w:t>
      </w:r>
      <w:r w:rsidR="003E3C11" w:rsidRPr="004125B8">
        <w:t>s</w:t>
      </w:r>
      <w:r w:rsidR="00A30301" w:rsidRPr="004125B8">
        <w:t xml:space="preserve"> reported in TRAC</w:t>
      </w:r>
      <w:r w:rsidR="001917BB" w:rsidRPr="004125B8">
        <w:t>,</w:t>
      </w:r>
      <w:r w:rsidR="00A30301" w:rsidRPr="004125B8">
        <w:t xml:space="preserve"> </w:t>
      </w:r>
      <w:r w:rsidR="009F0648" w:rsidRPr="004125B8">
        <w:t>inc</w:t>
      </w:r>
      <w:r w:rsidR="00A30301" w:rsidRPr="004125B8">
        <w:t xml:space="preserve">reased by </w:t>
      </w:r>
      <w:r w:rsidR="00553464">
        <w:t>1.7</w:t>
      </w:r>
      <w:r w:rsidR="005321DA" w:rsidRPr="004125B8">
        <w:t xml:space="preserve"> per cent </w:t>
      </w:r>
      <w:r w:rsidR="00A30301" w:rsidRPr="004125B8">
        <w:t xml:space="preserve">from </w:t>
      </w:r>
      <w:r w:rsidR="005321DA" w:rsidRPr="004125B8">
        <w:t>79,925</w:t>
      </w:r>
      <w:r w:rsidR="00091B56" w:rsidRPr="004125B8">
        <w:t xml:space="preserve"> to </w:t>
      </w:r>
      <w:r w:rsidR="007340A0">
        <w:t>81</w:t>
      </w:r>
      <w:r w:rsidR="00091B56" w:rsidRPr="004125B8">
        <w:t>,</w:t>
      </w:r>
      <w:r w:rsidR="007340A0">
        <w:t>280</w:t>
      </w:r>
      <w:r w:rsidR="00A30301" w:rsidRPr="004125B8">
        <w:rPr>
          <w:rStyle w:val="FootnoteReference"/>
        </w:rPr>
        <w:footnoteReference w:id="8"/>
      </w:r>
      <w:r w:rsidR="00A30301" w:rsidRPr="004125B8">
        <w:t>.</w:t>
      </w:r>
      <w:r w:rsidR="002A7CD4" w:rsidRPr="004125B8">
        <w:t xml:space="preserve"> </w:t>
      </w:r>
    </w:p>
    <w:p w14:paraId="67CBA8EE" w14:textId="074B8164" w:rsidR="00F71E43" w:rsidRDefault="00F71E43" w:rsidP="00F71E43">
      <w:pPr>
        <w:pStyle w:val="Numberedtext2"/>
      </w:pPr>
      <w:r>
        <w:t>Quality-related research funding from Research England</w:t>
      </w:r>
      <w:r w:rsidR="005B6315">
        <w:t xml:space="preserve"> </w:t>
      </w:r>
      <w:r w:rsidR="00DD2ED2">
        <w:t xml:space="preserve">(RE) </w:t>
      </w:r>
      <w:r w:rsidR="005B6315">
        <w:t>o</w:t>
      </w:r>
      <w:r w:rsidR="001917BB">
        <w:t>r</w:t>
      </w:r>
      <w:r w:rsidR="005B6315">
        <w:t xml:space="preserve"> Department for the Economy (Northern Ireland)</w:t>
      </w:r>
      <w:r w:rsidR="00DD2ED2">
        <w:t xml:space="preserve"> (</w:t>
      </w:r>
      <w:proofErr w:type="spellStart"/>
      <w:r w:rsidR="00DD2ED2">
        <w:t>D</w:t>
      </w:r>
      <w:r w:rsidR="00D31A83">
        <w:t>fENI</w:t>
      </w:r>
      <w:proofErr w:type="spellEnd"/>
      <w:r w:rsidR="00D31A83">
        <w:t>)</w:t>
      </w:r>
      <w:r w:rsidR="0086734B">
        <w:t>, available to support all ‘public good’ research, totalled £</w:t>
      </w:r>
      <w:r w:rsidR="002A7CD4">
        <w:t>1,66</w:t>
      </w:r>
      <w:r w:rsidR="002834FC">
        <w:t>9</w:t>
      </w:r>
      <w:r w:rsidR="002A7CD4">
        <w:t xml:space="preserve"> million.</w:t>
      </w:r>
    </w:p>
    <w:p w14:paraId="0B1C94FF" w14:textId="56822B0A" w:rsidR="002A7CD4" w:rsidRDefault="002A7CD4" w:rsidP="00F71E43">
      <w:pPr>
        <w:pStyle w:val="Numberedtext2"/>
      </w:pPr>
      <w:r>
        <w:t>Recovery of costs from ‘other government departments’ was 7</w:t>
      </w:r>
      <w:r w:rsidR="000F2B77">
        <w:t>4</w:t>
      </w:r>
      <w:r>
        <w:t>.</w:t>
      </w:r>
      <w:r w:rsidR="000F2B77">
        <w:t>5</w:t>
      </w:r>
      <w:r>
        <w:t xml:space="preserve"> per cent</w:t>
      </w:r>
      <w:r w:rsidR="001917BB">
        <w:t>,</w:t>
      </w:r>
      <w:r w:rsidR="00590B09">
        <w:t xml:space="preserve"> representing a </w:t>
      </w:r>
      <w:r w:rsidR="007774A1">
        <w:t>reduction</w:t>
      </w:r>
      <w:r w:rsidR="00590B09">
        <w:t xml:space="preserve"> in recovery from the 7</w:t>
      </w:r>
      <w:r w:rsidR="005B6315">
        <w:t>7.</w:t>
      </w:r>
      <w:r w:rsidR="000F2B77">
        <w:t>6</w:t>
      </w:r>
      <w:r w:rsidR="00590B09">
        <w:t xml:space="preserve"> per cent cost recovery for 201</w:t>
      </w:r>
      <w:r w:rsidR="007774A1">
        <w:t>7</w:t>
      </w:r>
      <w:r w:rsidR="00590B09">
        <w:t>-1</w:t>
      </w:r>
      <w:r w:rsidR="007774A1">
        <w:t>8</w:t>
      </w:r>
      <w:r w:rsidR="00590B09">
        <w:t>. Cost recovery from UK charities reduced from 60.</w:t>
      </w:r>
      <w:r w:rsidR="00CD7153">
        <w:t>4</w:t>
      </w:r>
      <w:r w:rsidR="00590B09">
        <w:t xml:space="preserve"> per cent to </w:t>
      </w:r>
      <w:r w:rsidR="00CD7153">
        <w:t>58.7</w:t>
      </w:r>
      <w:r w:rsidR="00136576">
        <w:t> </w:t>
      </w:r>
      <w:r w:rsidR="00590B09">
        <w:t>per</w:t>
      </w:r>
      <w:r w:rsidR="00136576">
        <w:t> </w:t>
      </w:r>
      <w:r w:rsidR="00590B09">
        <w:t xml:space="preserve">cent whilst cost recovery on ‘Industry-sponsored’ research activity (including research funded by overseas government bodies and overseas charities) </w:t>
      </w:r>
      <w:r w:rsidR="00593697">
        <w:t xml:space="preserve">was </w:t>
      </w:r>
      <w:r w:rsidR="002F1451">
        <w:t>in line with the previous year at</w:t>
      </w:r>
      <w:r w:rsidR="008C2741">
        <w:t xml:space="preserve"> </w:t>
      </w:r>
      <w:r w:rsidR="00590B09">
        <w:t>77.</w:t>
      </w:r>
      <w:r w:rsidR="00C405FE">
        <w:t>6</w:t>
      </w:r>
      <w:r w:rsidR="00590B09">
        <w:t xml:space="preserve"> per cent.</w:t>
      </w:r>
    </w:p>
    <w:p w14:paraId="628CA8A4" w14:textId="617AD7E5" w:rsidR="002A13DF" w:rsidRDefault="002A13DF" w:rsidP="00F71E43">
      <w:pPr>
        <w:pStyle w:val="Numberedtext1"/>
      </w:pPr>
      <w:r>
        <w:t>In line with previous years</w:t>
      </w:r>
      <w:r w:rsidR="00C23932">
        <w:t>,</w:t>
      </w:r>
      <w:r>
        <w:t xml:space="preserve"> the sec</w:t>
      </w:r>
      <w:r w:rsidR="00882E00">
        <w:t>tor continues to have a substantial level of activity that does not recover its full costs.</w:t>
      </w:r>
    </w:p>
    <w:p w14:paraId="492E89A6" w14:textId="2A16A9F5" w:rsidR="00F71E43" w:rsidRDefault="00F71E43" w:rsidP="00F71E43">
      <w:pPr>
        <w:pStyle w:val="Numberedtext1"/>
      </w:pPr>
      <w:r>
        <w:t xml:space="preserve">UK sector </w:t>
      </w:r>
      <w:r w:rsidR="002A13DF">
        <w:t xml:space="preserve">aggregate data </w:t>
      </w:r>
      <w:r>
        <w:t>is provided</w:t>
      </w:r>
      <w:r w:rsidR="00590B09">
        <w:t xml:space="preserve"> in </w:t>
      </w:r>
      <w:r w:rsidR="00452408">
        <w:t>T</w:t>
      </w:r>
      <w:r w:rsidR="00590B09">
        <w:t>ables 4</w:t>
      </w:r>
      <w:r w:rsidR="00575E0C">
        <w:t>, 5 and 6</w:t>
      </w:r>
      <w:r>
        <w:t xml:space="preserve"> at Annex B</w:t>
      </w:r>
      <w:r w:rsidR="00575E0C">
        <w:t>.</w:t>
      </w:r>
    </w:p>
    <w:p w14:paraId="21DA9FAA" w14:textId="07C60B13" w:rsidR="008658CA" w:rsidRDefault="00F71E43" w:rsidP="009D4FC2">
      <w:pPr>
        <w:pStyle w:val="Numberedtext1"/>
      </w:pPr>
      <w:r>
        <w:t>Further analysis</w:t>
      </w:r>
      <w:r w:rsidR="0086734B">
        <w:t xml:space="preserve"> for the UK sector</w:t>
      </w:r>
      <w:r>
        <w:t xml:space="preserve"> summarised by peer group is provided as an Excel workbook (</w:t>
      </w:r>
      <w:r w:rsidR="00575E0C">
        <w:t xml:space="preserve">see </w:t>
      </w:r>
      <w:r>
        <w:t>Annex C)</w:t>
      </w:r>
      <w:r w:rsidR="00452408">
        <w:t>.</w:t>
      </w:r>
    </w:p>
    <w:p w14:paraId="110C6AAE" w14:textId="30999AAF" w:rsidR="00265415" w:rsidRDefault="00265415" w:rsidP="00265415"/>
    <w:p w14:paraId="1040CA84" w14:textId="77777777" w:rsidR="001C6782" w:rsidRDefault="001C6782" w:rsidP="00265415">
      <w:pPr>
        <w:sectPr w:rsidR="001C6782" w:rsidSect="0013176D">
          <w:headerReference w:type="first" r:id="rId23"/>
          <w:pgSz w:w="11906" w:h="16838" w:code="9"/>
          <w:pgMar w:top="1134" w:right="1134" w:bottom="1134" w:left="1134" w:header="454" w:footer="454" w:gutter="0"/>
          <w:cols w:space="708"/>
          <w:titlePg/>
          <w:docGrid w:linePitch="360"/>
        </w:sectPr>
      </w:pPr>
    </w:p>
    <w:p w14:paraId="7F19045D" w14:textId="038F5C31" w:rsidR="00602948" w:rsidRPr="001E756D" w:rsidRDefault="00575E0C" w:rsidP="00EE389B">
      <w:pPr>
        <w:pStyle w:val="Heading3"/>
        <w:ind w:right="-314"/>
        <w:rPr>
          <w:sz w:val="22"/>
          <w:szCs w:val="22"/>
        </w:rPr>
      </w:pPr>
      <w:bookmarkStart w:id="6" w:name="_Toc42783351"/>
      <w:r w:rsidRPr="001E756D">
        <w:rPr>
          <w:sz w:val="22"/>
          <w:szCs w:val="22"/>
        </w:rPr>
        <w:lastRenderedPageBreak/>
        <w:t>Table 2: Research income and costs by sponsor type</w:t>
      </w:r>
      <w:r w:rsidR="00452408" w:rsidRPr="001E756D">
        <w:rPr>
          <w:sz w:val="22"/>
          <w:szCs w:val="22"/>
        </w:rPr>
        <w:t>,</w:t>
      </w:r>
      <w:r w:rsidRPr="001E756D">
        <w:rPr>
          <w:sz w:val="22"/>
          <w:szCs w:val="22"/>
        </w:rPr>
        <w:t xml:space="preserve"> </w:t>
      </w:r>
      <w:r w:rsidR="00E95D8D" w:rsidRPr="001E756D">
        <w:rPr>
          <w:sz w:val="22"/>
          <w:szCs w:val="22"/>
        </w:rPr>
        <w:t>2018-19</w:t>
      </w:r>
      <w:r w:rsidRPr="001E756D">
        <w:rPr>
          <w:sz w:val="22"/>
          <w:szCs w:val="22"/>
        </w:rPr>
        <w:t xml:space="preserve"> (</w:t>
      </w:r>
      <w:r w:rsidR="005B6315" w:rsidRPr="001E756D">
        <w:rPr>
          <w:sz w:val="22"/>
          <w:szCs w:val="22"/>
        </w:rPr>
        <w:t>higher education institutions</w:t>
      </w:r>
      <w:r w:rsidRPr="001E756D">
        <w:rPr>
          <w:sz w:val="22"/>
          <w:szCs w:val="22"/>
        </w:rPr>
        <w:t xml:space="preserve"> in England and Northern Ireland) (figures in £M)</w:t>
      </w:r>
      <w:bookmarkEnd w:id="6"/>
    </w:p>
    <w:tbl>
      <w:tblPr>
        <w:tblW w:w="14880" w:type="dxa"/>
        <w:tblLook w:val="04A0" w:firstRow="1" w:lastRow="0" w:firstColumn="1" w:lastColumn="0" w:noHBand="0" w:noVBand="1"/>
      </w:tblPr>
      <w:tblGrid>
        <w:gridCol w:w="3524"/>
        <w:gridCol w:w="1328"/>
        <w:gridCol w:w="1280"/>
        <w:gridCol w:w="1651"/>
        <w:gridCol w:w="1234"/>
        <w:gridCol w:w="1537"/>
        <w:gridCol w:w="987"/>
        <w:gridCol w:w="1121"/>
        <w:gridCol w:w="1084"/>
        <w:gridCol w:w="1134"/>
      </w:tblGrid>
      <w:tr w:rsidR="00331588" w:rsidRPr="00331588" w14:paraId="76110F81" w14:textId="77777777" w:rsidTr="001E362F">
        <w:trPr>
          <w:trHeight w:val="1668"/>
        </w:trPr>
        <w:tc>
          <w:tcPr>
            <w:tcW w:w="3524" w:type="dxa"/>
            <w:tcBorders>
              <w:top w:val="single" w:sz="4" w:space="0" w:color="auto"/>
              <w:left w:val="single" w:sz="4" w:space="0" w:color="auto"/>
              <w:bottom w:val="single" w:sz="4" w:space="0" w:color="auto"/>
              <w:right w:val="nil"/>
            </w:tcBorders>
            <w:shd w:val="clear" w:color="000000" w:fill="002554"/>
            <w:vAlign w:val="bottom"/>
            <w:hideMark/>
          </w:tcPr>
          <w:p w14:paraId="11622056" w14:textId="77777777" w:rsidR="00331588" w:rsidRPr="00331588" w:rsidRDefault="00331588" w:rsidP="008112B4">
            <w:pPr>
              <w:spacing w:after="60" w:line="240" w:lineRule="auto"/>
              <w:jc w:val="right"/>
              <w:rPr>
                <w:rFonts w:ascii="Arial" w:eastAsia="Times New Roman" w:hAnsi="Arial" w:cs="Arial"/>
                <w:b/>
                <w:bCs/>
                <w:lang w:eastAsia="en-GB"/>
              </w:rPr>
            </w:pPr>
            <w:r w:rsidRPr="00331588">
              <w:rPr>
                <w:rFonts w:ascii="Arial" w:eastAsia="Times New Roman" w:hAnsi="Arial" w:cs="Arial"/>
                <w:b/>
                <w:bCs/>
                <w:lang w:eastAsia="en-GB"/>
              </w:rPr>
              <w:t> </w:t>
            </w:r>
          </w:p>
        </w:tc>
        <w:tc>
          <w:tcPr>
            <w:tcW w:w="1328" w:type="dxa"/>
            <w:tcBorders>
              <w:top w:val="single" w:sz="4" w:space="0" w:color="auto"/>
              <w:left w:val="nil"/>
              <w:bottom w:val="nil"/>
              <w:right w:val="nil"/>
            </w:tcBorders>
            <w:shd w:val="clear" w:color="000000" w:fill="002554"/>
            <w:vAlign w:val="bottom"/>
            <w:hideMark/>
          </w:tcPr>
          <w:p w14:paraId="7C7F35F7" w14:textId="388A2BBF" w:rsidR="00331588" w:rsidRPr="00331588" w:rsidRDefault="00331588" w:rsidP="008112B4">
            <w:pPr>
              <w:spacing w:after="60" w:line="240" w:lineRule="auto"/>
              <w:jc w:val="right"/>
              <w:rPr>
                <w:rFonts w:ascii="Arial" w:eastAsia="Times New Roman" w:hAnsi="Arial" w:cs="Arial"/>
                <w:b/>
                <w:bCs/>
                <w:color w:val="FFFFFF"/>
                <w:sz w:val="20"/>
                <w:szCs w:val="20"/>
                <w:lang w:eastAsia="en-GB"/>
              </w:rPr>
            </w:pPr>
            <w:r w:rsidRPr="00B652E4">
              <w:rPr>
                <w:rFonts w:ascii="Arial" w:eastAsia="Times New Roman" w:hAnsi="Arial" w:cs="Arial"/>
                <w:b/>
                <w:bCs/>
                <w:color w:val="FFFFFF"/>
                <w:lang w:eastAsia="en-GB"/>
              </w:rPr>
              <w:t xml:space="preserve">Recurrent research funding </w:t>
            </w:r>
            <w:r w:rsidRPr="001E362F">
              <w:rPr>
                <w:rFonts w:ascii="Arial" w:eastAsia="Times New Roman" w:hAnsi="Arial" w:cs="Arial"/>
                <w:b/>
                <w:bCs/>
                <w:color w:val="FFFFFF"/>
                <w:lang w:eastAsia="en-GB"/>
              </w:rPr>
              <w:t xml:space="preserve">from RE/ </w:t>
            </w:r>
            <w:proofErr w:type="spellStart"/>
            <w:r w:rsidRPr="001E362F">
              <w:rPr>
                <w:rFonts w:ascii="Arial" w:eastAsia="Times New Roman" w:hAnsi="Arial" w:cs="Arial"/>
                <w:b/>
                <w:bCs/>
                <w:color w:val="FFFFFF"/>
                <w:lang w:eastAsia="en-GB"/>
              </w:rPr>
              <w:t>DfE</w:t>
            </w:r>
            <w:r w:rsidR="001E362F">
              <w:rPr>
                <w:rFonts w:ascii="Arial" w:eastAsia="Times New Roman" w:hAnsi="Arial" w:cs="Arial"/>
                <w:b/>
                <w:bCs/>
                <w:color w:val="FFFFFF"/>
                <w:lang w:eastAsia="en-GB"/>
              </w:rPr>
              <w:t>NI</w:t>
            </w:r>
            <w:proofErr w:type="spellEnd"/>
          </w:p>
        </w:tc>
        <w:tc>
          <w:tcPr>
            <w:tcW w:w="1280" w:type="dxa"/>
            <w:tcBorders>
              <w:top w:val="single" w:sz="4" w:space="0" w:color="auto"/>
              <w:left w:val="nil"/>
              <w:bottom w:val="nil"/>
              <w:right w:val="nil"/>
            </w:tcBorders>
            <w:shd w:val="clear" w:color="000000" w:fill="002554"/>
            <w:vAlign w:val="bottom"/>
            <w:hideMark/>
          </w:tcPr>
          <w:p w14:paraId="374643CF" w14:textId="77777777" w:rsidR="00331588" w:rsidRPr="008112B4" w:rsidRDefault="00331588" w:rsidP="008112B4">
            <w:pPr>
              <w:spacing w:after="60" w:line="240" w:lineRule="auto"/>
              <w:jc w:val="right"/>
              <w:rPr>
                <w:rFonts w:ascii="Arial" w:eastAsia="Times New Roman" w:hAnsi="Arial" w:cs="Arial"/>
                <w:b/>
                <w:bCs/>
                <w:color w:val="FFFFFF"/>
                <w:lang w:eastAsia="en-GB"/>
              </w:rPr>
            </w:pPr>
            <w:r w:rsidRPr="008112B4">
              <w:rPr>
                <w:rFonts w:ascii="Arial" w:eastAsia="Times New Roman" w:hAnsi="Arial" w:cs="Arial"/>
                <w:b/>
                <w:bCs/>
                <w:color w:val="FFFFFF"/>
                <w:lang w:eastAsia="en-GB"/>
              </w:rPr>
              <w:t>Institution own-funded</w:t>
            </w:r>
          </w:p>
        </w:tc>
        <w:tc>
          <w:tcPr>
            <w:tcW w:w="1651" w:type="dxa"/>
            <w:tcBorders>
              <w:top w:val="single" w:sz="4" w:space="0" w:color="auto"/>
              <w:left w:val="nil"/>
              <w:bottom w:val="nil"/>
              <w:right w:val="nil"/>
            </w:tcBorders>
            <w:shd w:val="clear" w:color="000000" w:fill="002554"/>
            <w:vAlign w:val="bottom"/>
            <w:hideMark/>
          </w:tcPr>
          <w:p w14:paraId="1DA43870" w14:textId="77777777" w:rsidR="00331588" w:rsidRPr="008112B4" w:rsidRDefault="00331588" w:rsidP="008112B4">
            <w:pPr>
              <w:spacing w:after="60" w:line="240" w:lineRule="auto"/>
              <w:jc w:val="right"/>
              <w:rPr>
                <w:rFonts w:ascii="Arial" w:eastAsia="Times New Roman" w:hAnsi="Arial" w:cs="Arial"/>
                <w:b/>
                <w:bCs/>
                <w:color w:val="FFFFFF"/>
                <w:lang w:eastAsia="en-GB"/>
              </w:rPr>
            </w:pPr>
            <w:r w:rsidRPr="008112B4">
              <w:rPr>
                <w:rFonts w:ascii="Arial" w:eastAsia="Times New Roman" w:hAnsi="Arial" w:cs="Arial"/>
                <w:b/>
                <w:bCs/>
                <w:color w:val="FFFFFF"/>
                <w:lang w:eastAsia="en-GB"/>
              </w:rPr>
              <w:t xml:space="preserve">Training and supervision of postgraduate research students </w:t>
            </w:r>
          </w:p>
        </w:tc>
        <w:tc>
          <w:tcPr>
            <w:tcW w:w="1234" w:type="dxa"/>
            <w:tcBorders>
              <w:top w:val="single" w:sz="4" w:space="0" w:color="auto"/>
              <w:left w:val="nil"/>
              <w:bottom w:val="nil"/>
              <w:right w:val="nil"/>
            </w:tcBorders>
            <w:shd w:val="clear" w:color="000000" w:fill="002554"/>
            <w:vAlign w:val="bottom"/>
            <w:hideMark/>
          </w:tcPr>
          <w:p w14:paraId="4015EB2B" w14:textId="77777777" w:rsidR="00331588" w:rsidRPr="008112B4" w:rsidRDefault="00331588" w:rsidP="008112B4">
            <w:pPr>
              <w:spacing w:after="60" w:line="240" w:lineRule="auto"/>
              <w:jc w:val="right"/>
              <w:rPr>
                <w:rFonts w:ascii="Arial" w:eastAsia="Times New Roman" w:hAnsi="Arial" w:cs="Arial"/>
                <w:b/>
                <w:bCs/>
                <w:color w:val="FFFFFF"/>
                <w:lang w:eastAsia="en-GB"/>
              </w:rPr>
            </w:pPr>
            <w:r w:rsidRPr="008112B4">
              <w:rPr>
                <w:rFonts w:ascii="Arial" w:eastAsia="Times New Roman" w:hAnsi="Arial" w:cs="Arial"/>
                <w:b/>
                <w:bCs/>
                <w:color w:val="FFFFFF"/>
                <w:lang w:eastAsia="en-GB"/>
              </w:rPr>
              <w:t>Research Councils</w:t>
            </w:r>
          </w:p>
        </w:tc>
        <w:tc>
          <w:tcPr>
            <w:tcW w:w="1537" w:type="dxa"/>
            <w:tcBorders>
              <w:top w:val="single" w:sz="4" w:space="0" w:color="auto"/>
              <w:left w:val="nil"/>
              <w:bottom w:val="nil"/>
              <w:right w:val="nil"/>
            </w:tcBorders>
            <w:shd w:val="clear" w:color="000000" w:fill="002554"/>
            <w:vAlign w:val="bottom"/>
            <w:hideMark/>
          </w:tcPr>
          <w:p w14:paraId="23EB993B" w14:textId="77777777" w:rsidR="00331588" w:rsidRPr="008112B4" w:rsidRDefault="00331588" w:rsidP="008112B4">
            <w:pPr>
              <w:spacing w:after="60" w:line="240" w:lineRule="auto"/>
              <w:jc w:val="right"/>
              <w:rPr>
                <w:rFonts w:ascii="Arial" w:eastAsia="Times New Roman" w:hAnsi="Arial" w:cs="Arial"/>
                <w:b/>
                <w:bCs/>
                <w:color w:val="FFFFFF"/>
                <w:lang w:eastAsia="en-GB"/>
              </w:rPr>
            </w:pPr>
            <w:r w:rsidRPr="008112B4">
              <w:rPr>
                <w:rFonts w:ascii="Arial" w:eastAsia="Times New Roman" w:hAnsi="Arial" w:cs="Arial"/>
                <w:b/>
                <w:bCs/>
                <w:color w:val="FFFFFF"/>
                <w:lang w:eastAsia="en-GB"/>
              </w:rPr>
              <w:t>Other government departments</w:t>
            </w:r>
          </w:p>
        </w:tc>
        <w:tc>
          <w:tcPr>
            <w:tcW w:w="987" w:type="dxa"/>
            <w:tcBorders>
              <w:top w:val="single" w:sz="4" w:space="0" w:color="auto"/>
              <w:left w:val="nil"/>
              <w:bottom w:val="nil"/>
              <w:right w:val="nil"/>
            </w:tcBorders>
            <w:shd w:val="clear" w:color="000000" w:fill="002554"/>
            <w:vAlign w:val="bottom"/>
            <w:hideMark/>
          </w:tcPr>
          <w:p w14:paraId="20622049" w14:textId="77777777" w:rsidR="00331588" w:rsidRPr="008112B4" w:rsidRDefault="00331588" w:rsidP="008112B4">
            <w:pPr>
              <w:spacing w:after="60" w:line="240" w:lineRule="auto"/>
              <w:jc w:val="right"/>
              <w:rPr>
                <w:rFonts w:ascii="Arial" w:eastAsia="Times New Roman" w:hAnsi="Arial" w:cs="Arial"/>
                <w:b/>
                <w:bCs/>
                <w:color w:val="FFFFFF"/>
                <w:lang w:eastAsia="en-GB"/>
              </w:rPr>
            </w:pPr>
            <w:r w:rsidRPr="008112B4">
              <w:rPr>
                <w:rFonts w:ascii="Arial" w:eastAsia="Times New Roman" w:hAnsi="Arial" w:cs="Arial"/>
                <w:b/>
                <w:bCs/>
                <w:color w:val="FFFFFF"/>
                <w:lang w:eastAsia="en-GB"/>
              </w:rPr>
              <w:t xml:space="preserve">EU </w:t>
            </w:r>
          </w:p>
        </w:tc>
        <w:tc>
          <w:tcPr>
            <w:tcW w:w="1121" w:type="dxa"/>
            <w:tcBorders>
              <w:top w:val="single" w:sz="4" w:space="0" w:color="auto"/>
              <w:left w:val="nil"/>
              <w:bottom w:val="nil"/>
              <w:right w:val="nil"/>
            </w:tcBorders>
            <w:shd w:val="clear" w:color="000000" w:fill="002554"/>
            <w:vAlign w:val="bottom"/>
            <w:hideMark/>
          </w:tcPr>
          <w:p w14:paraId="6F7D5EAB" w14:textId="77777777" w:rsidR="00331588" w:rsidRPr="008112B4" w:rsidRDefault="00331588" w:rsidP="008112B4">
            <w:pPr>
              <w:spacing w:after="60" w:line="240" w:lineRule="auto"/>
              <w:jc w:val="right"/>
              <w:rPr>
                <w:rFonts w:ascii="Arial" w:eastAsia="Times New Roman" w:hAnsi="Arial" w:cs="Arial"/>
                <w:b/>
                <w:bCs/>
                <w:color w:val="FFFFFF"/>
                <w:lang w:eastAsia="en-GB"/>
              </w:rPr>
            </w:pPr>
            <w:r w:rsidRPr="008112B4">
              <w:rPr>
                <w:rFonts w:ascii="Arial" w:eastAsia="Times New Roman" w:hAnsi="Arial" w:cs="Arial"/>
                <w:b/>
                <w:bCs/>
                <w:color w:val="FFFFFF"/>
                <w:lang w:eastAsia="en-GB"/>
              </w:rPr>
              <w:t>UK charities</w:t>
            </w:r>
          </w:p>
        </w:tc>
        <w:tc>
          <w:tcPr>
            <w:tcW w:w="1084" w:type="dxa"/>
            <w:tcBorders>
              <w:top w:val="single" w:sz="4" w:space="0" w:color="auto"/>
              <w:left w:val="nil"/>
              <w:bottom w:val="nil"/>
              <w:right w:val="nil"/>
            </w:tcBorders>
            <w:shd w:val="clear" w:color="000000" w:fill="002554"/>
            <w:vAlign w:val="bottom"/>
            <w:hideMark/>
          </w:tcPr>
          <w:p w14:paraId="37A5B145" w14:textId="77777777" w:rsidR="00331588" w:rsidRPr="008112B4" w:rsidRDefault="00331588" w:rsidP="008112B4">
            <w:pPr>
              <w:spacing w:after="60" w:line="240" w:lineRule="auto"/>
              <w:jc w:val="right"/>
              <w:rPr>
                <w:rFonts w:ascii="Arial" w:eastAsia="Times New Roman" w:hAnsi="Arial" w:cs="Arial"/>
                <w:b/>
                <w:bCs/>
                <w:color w:val="FFFFFF"/>
                <w:lang w:eastAsia="en-GB"/>
              </w:rPr>
            </w:pPr>
            <w:r w:rsidRPr="008112B4">
              <w:rPr>
                <w:rFonts w:ascii="Arial" w:eastAsia="Times New Roman" w:hAnsi="Arial" w:cs="Arial"/>
                <w:b/>
                <w:bCs/>
                <w:color w:val="FFFFFF"/>
                <w:lang w:eastAsia="en-GB"/>
              </w:rPr>
              <w:t xml:space="preserve">Industry </w:t>
            </w:r>
          </w:p>
        </w:tc>
        <w:tc>
          <w:tcPr>
            <w:tcW w:w="1134" w:type="dxa"/>
            <w:tcBorders>
              <w:top w:val="single" w:sz="4" w:space="0" w:color="auto"/>
              <w:left w:val="nil"/>
              <w:bottom w:val="nil"/>
              <w:right w:val="single" w:sz="4" w:space="0" w:color="auto"/>
            </w:tcBorders>
            <w:shd w:val="clear" w:color="000000" w:fill="002554"/>
            <w:vAlign w:val="bottom"/>
            <w:hideMark/>
          </w:tcPr>
          <w:p w14:paraId="6A8E7450" w14:textId="77777777" w:rsidR="00331588" w:rsidRPr="008112B4" w:rsidRDefault="00331588" w:rsidP="008112B4">
            <w:pPr>
              <w:spacing w:after="60" w:line="240" w:lineRule="auto"/>
              <w:jc w:val="right"/>
              <w:rPr>
                <w:rFonts w:ascii="Arial" w:eastAsia="Times New Roman" w:hAnsi="Arial" w:cs="Arial"/>
                <w:b/>
                <w:bCs/>
                <w:color w:val="FFFFFF"/>
                <w:lang w:eastAsia="en-GB"/>
              </w:rPr>
            </w:pPr>
            <w:r w:rsidRPr="008112B4">
              <w:rPr>
                <w:rFonts w:ascii="Arial" w:eastAsia="Times New Roman" w:hAnsi="Arial" w:cs="Arial"/>
                <w:b/>
                <w:bCs/>
                <w:color w:val="FFFFFF"/>
                <w:lang w:eastAsia="en-GB"/>
              </w:rPr>
              <w:t xml:space="preserve">Total research </w:t>
            </w:r>
          </w:p>
        </w:tc>
      </w:tr>
      <w:tr w:rsidR="00AB46AF" w:rsidRPr="00331588" w14:paraId="275CB277" w14:textId="77777777" w:rsidTr="00AB46AF">
        <w:trPr>
          <w:trHeight w:val="405"/>
        </w:trPr>
        <w:tc>
          <w:tcPr>
            <w:tcW w:w="3524" w:type="dxa"/>
            <w:tcBorders>
              <w:top w:val="nil"/>
              <w:left w:val="single" w:sz="4" w:space="0" w:color="auto"/>
              <w:bottom w:val="nil"/>
              <w:right w:val="nil"/>
            </w:tcBorders>
            <w:shd w:val="clear" w:color="auto" w:fill="auto"/>
            <w:vAlign w:val="center"/>
            <w:hideMark/>
          </w:tcPr>
          <w:p w14:paraId="078CBE07" w14:textId="77777777" w:rsidR="00331588" w:rsidRPr="00331588" w:rsidRDefault="00331588" w:rsidP="00331588">
            <w:pPr>
              <w:spacing w:after="0" w:line="240" w:lineRule="auto"/>
              <w:rPr>
                <w:rFonts w:ascii="Arial" w:eastAsia="Times New Roman" w:hAnsi="Arial" w:cs="Arial"/>
                <w:lang w:eastAsia="en-GB"/>
              </w:rPr>
            </w:pPr>
            <w:r w:rsidRPr="00331588">
              <w:rPr>
                <w:rFonts w:ascii="Arial" w:eastAsia="Times New Roman" w:hAnsi="Arial" w:cs="Arial"/>
                <w:lang w:eastAsia="en-GB"/>
              </w:rPr>
              <w:t>Income</w:t>
            </w:r>
          </w:p>
        </w:tc>
        <w:tc>
          <w:tcPr>
            <w:tcW w:w="1328" w:type="dxa"/>
            <w:tcBorders>
              <w:top w:val="single" w:sz="4" w:space="0" w:color="auto"/>
              <w:left w:val="nil"/>
              <w:bottom w:val="nil"/>
              <w:right w:val="nil"/>
            </w:tcBorders>
            <w:shd w:val="clear" w:color="auto" w:fill="auto"/>
            <w:vAlign w:val="center"/>
            <w:hideMark/>
          </w:tcPr>
          <w:p w14:paraId="3D62D741"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lang w:eastAsia="en-GB"/>
              </w:rPr>
              <w:t>1,669</w:t>
            </w:r>
          </w:p>
        </w:tc>
        <w:tc>
          <w:tcPr>
            <w:tcW w:w="1280" w:type="dxa"/>
            <w:tcBorders>
              <w:top w:val="single" w:sz="4" w:space="0" w:color="auto"/>
              <w:left w:val="nil"/>
              <w:bottom w:val="nil"/>
              <w:right w:val="nil"/>
            </w:tcBorders>
            <w:shd w:val="clear" w:color="auto" w:fill="auto"/>
            <w:vAlign w:val="center"/>
            <w:hideMark/>
          </w:tcPr>
          <w:p w14:paraId="13E8A1BF"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lang w:eastAsia="en-GB"/>
              </w:rPr>
              <w:t>496</w:t>
            </w:r>
          </w:p>
        </w:tc>
        <w:tc>
          <w:tcPr>
            <w:tcW w:w="1651" w:type="dxa"/>
            <w:tcBorders>
              <w:top w:val="single" w:sz="4" w:space="0" w:color="auto"/>
              <w:left w:val="nil"/>
              <w:bottom w:val="nil"/>
              <w:right w:val="nil"/>
            </w:tcBorders>
            <w:shd w:val="clear" w:color="auto" w:fill="auto"/>
            <w:vAlign w:val="center"/>
            <w:hideMark/>
          </w:tcPr>
          <w:p w14:paraId="5E91DAA7"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lang w:eastAsia="en-GB"/>
              </w:rPr>
              <w:t>1,069</w:t>
            </w:r>
          </w:p>
        </w:tc>
        <w:tc>
          <w:tcPr>
            <w:tcW w:w="1234" w:type="dxa"/>
            <w:tcBorders>
              <w:top w:val="single" w:sz="4" w:space="0" w:color="auto"/>
              <w:left w:val="nil"/>
              <w:bottom w:val="nil"/>
              <w:right w:val="nil"/>
            </w:tcBorders>
            <w:shd w:val="clear" w:color="auto" w:fill="auto"/>
            <w:vAlign w:val="center"/>
            <w:hideMark/>
          </w:tcPr>
          <w:p w14:paraId="1C7E1056"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lang w:eastAsia="en-GB"/>
              </w:rPr>
              <w:t>1,907</w:t>
            </w:r>
          </w:p>
        </w:tc>
        <w:tc>
          <w:tcPr>
            <w:tcW w:w="1537" w:type="dxa"/>
            <w:tcBorders>
              <w:top w:val="single" w:sz="4" w:space="0" w:color="auto"/>
              <w:left w:val="nil"/>
              <w:bottom w:val="nil"/>
              <w:right w:val="nil"/>
            </w:tcBorders>
            <w:shd w:val="clear" w:color="auto" w:fill="auto"/>
            <w:vAlign w:val="center"/>
            <w:hideMark/>
          </w:tcPr>
          <w:p w14:paraId="2B457AA7"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lang w:eastAsia="en-GB"/>
              </w:rPr>
              <w:t>946</w:t>
            </w:r>
          </w:p>
        </w:tc>
        <w:tc>
          <w:tcPr>
            <w:tcW w:w="987" w:type="dxa"/>
            <w:tcBorders>
              <w:top w:val="single" w:sz="4" w:space="0" w:color="auto"/>
              <w:left w:val="nil"/>
              <w:bottom w:val="nil"/>
              <w:right w:val="nil"/>
            </w:tcBorders>
            <w:shd w:val="clear" w:color="auto" w:fill="auto"/>
            <w:vAlign w:val="center"/>
            <w:hideMark/>
          </w:tcPr>
          <w:p w14:paraId="237F101E"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lang w:eastAsia="en-GB"/>
              </w:rPr>
              <w:t>654</w:t>
            </w:r>
          </w:p>
        </w:tc>
        <w:tc>
          <w:tcPr>
            <w:tcW w:w="1121" w:type="dxa"/>
            <w:tcBorders>
              <w:top w:val="single" w:sz="4" w:space="0" w:color="auto"/>
              <w:left w:val="nil"/>
              <w:bottom w:val="nil"/>
              <w:right w:val="nil"/>
            </w:tcBorders>
            <w:shd w:val="clear" w:color="auto" w:fill="auto"/>
            <w:vAlign w:val="center"/>
            <w:hideMark/>
          </w:tcPr>
          <w:p w14:paraId="5C9A1242"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lang w:eastAsia="en-GB"/>
              </w:rPr>
              <w:t>1,094</w:t>
            </w:r>
          </w:p>
        </w:tc>
        <w:tc>
          <w:tcPr>
            <w:tcW w:w="1084" w:type="dxa"/>
            <w:tcBorders>
              <w:top w:val="single" w:sz="4" w:space="0" w:color="auto"/>
              <w:left w:val="nil"/>
              <w:bottom w:val="nil"/>
              <w:right w:val="nil"/>
            </w:tcBorders>
            <w:shd w:val="clear" w:color="auto" w:fill="auto"/>
            <w:vAlign w:val="center"/>
            <w:hideMark/>
          </w:tcPr>
          <w:p w14:paraId="1DBB5322"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lang w:eastAsia="en-GB"/>
              </w:rPr>
              <w:t>1,115</w:t>
            </w:r>
          </w:p>
        </w:tc>
        <w:tc>
          <w:tcPr>
            <w:tcW w:w="1134" w:type="dxa"/>
            <w:tcBorders>
              <w:top w:val="single" w:sz="4" w:space="0" w:color="auto"/>
              <w:left w:val="nil"/>
              <w:bottom w:val="nil"/>
              <w:right w:val="single" w:sz="4" w:space="0" w:color="auto"/>
            </w:tcBorders>
            <w:shd w:val="clear" w:color="auto" w:fill="auto"/>
            <w:vAlign w:val="center"/>
            <w:hideMark/>
          </w:tcPr>
          <w:p w14:paraId="3670FB12"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lang w:eastAsia="en-GB"/>
              </w:rPr>
              <w:t>8,950</w:t>
            </w:r>
          </w:p>
        </w:tc>
      </w:tr>
      <w:tr w:rsidR="00AB46AF" w:rsidRPr="00331588" w14:paraId="5D29BAF7" w14:textId="77777777" w:rsidTr="00AB46AF">
        <w:trPr>
          <w:trHeight w:val="405"/>
        </w:trPr>
        <w:tc>
          <w:tcPr>
            <w:tcW w:w="3524" w:type="dxa"/>
            <w:tcBorders>
              <w:top w:val="nil"/>
              <w:left w:val="single" w:sz="4" w:space="0" w:color="auto"/>
              <w:bottom w:val="single" w:sz="4" w:space="0" w:color="auto"/>
              <w:right w:val="nil"/>
            </w:tcBorders>
            <w:shd w:val="clear" w:color="auto" w:fill="auto"/>
            <w:vAlign w:val="center"/>
            <w:hideMark/>
          </w:tcPr>
          <w:p w14:paraId="2A37394D" w14:textId="77777777" w:rsidR="00331588" w:rsidRPr="00331588" w:rsidRDefault="00331588" w:rsidP="00331588">
            <w:pPr>
              <w:spacing w:after="0" w:line="240" w:lineRule="auto"/>
              <w:rPr>
                <w:rFonts w:ascii="Arial" w:eastAsia="Times New Roman" w:hAnsi="Arial" w:cs="Arial"/>
                <w:lang w:eastAsia="en-GB"/>
              </w:rPr>
            </w:pPr>
            <w:r w:rsidRPr="00331588">
              <w:rPr>
                <w:rFonts w:ascii="Arial" w:eastAsia="Times New Roman" w:hAnsi="Arial" w:cs="Arial"/>
                <w:lang w:eastAsia="en-GB"/>
              </w:rPr>
              <w:t>TRAC full economic costs</w:t>
            </w:r>
          </w:p>
        </w:tc>
        <w:tc>
          <w:tcPr>
            <w:tcW w:w="1328" w:type="dxa"/>
            <w:tcBorders>
              <w:top w:val="nil"/>
              <w:left w:val="nil"/>
              <w:bottom w:val="single" w:sz="4" w:space="0" w:color="auto"/>
              <w:right w:val="nil"/>
            </w:tcBorders>
            <w:shd w:val="clear" w:color="000000" w:fill="D9D9D9"/>
            <w:vAlign w:val="center"/>
            <w:hideMark/>
          </w:tcPr>
          <w:p w14:paraId="239E100C"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lang w:eastAsia="en-GB"/>
              </w:rPr>
              <w:t> </w:t>
            </w:r>
          </w:p>
        </w:tc>
        <w:tc>
          <w:tcPr>
            <w:tcW w:w="1280" w:type="dxa"/>
            <w:tcBorders>
              <w:top w:val="nil"/>
              <w:left w:val="nil"/>
              <w:bottom w:val="single" w:sz="4" w:space="0" w:color="auto"/>
              <w:right w:val="nil"/>
            </w:tcBorders>
            <w:shd w:val="clear" w:color="auto" w:fill="auto"/>
            <w:vAlign w:val="center"/>
            <w:hideMark/>
          </w:tcPr>
          <w:p w14:paraId="01DA645F"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lang w:eastAsia="en-GB"/>
              </w:rPr>
              <w:t>2,352</w:t>
            </w:r>
          </w:p>
        </w:tc>
        <w:tc>
          <w:tcPr>
            <w:tcW w:w="1651" w:type="dxa"/>
            <w:tcBorders>
              <w:top w:val="nil"/>
              <w:left w:val="nil"/>
              <w:bottom w:val="single" w:sz="4" w:space="0" w:color="auto"/>
              <w:right w:val="nil"/>
            </w:tcBorders>
            <w:shd w:val="clear" w:color="auto" w:fill="auto"/>
            <w:vAlign w:val="center"/>
            <w:hideMark/>
          </w:tcPr>
          <w:p w14:paraId="324932FB"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lang w:eastAsia="en-GB"/>
              </w:rPr>
              <w:t>2,372</w:t>
            </w:r>
          </w:p>
        </w:tc>
        <w:tc>
          <w:tcPr>
            <w:tcW w:w="1234" w:type="dxa"/>
            <w:tcBorders>
              <w:top w:val="nil"/>
              <w:left w:val="nil"/>
              <w:bottom w:val="single" w:sz="4" w:space="0" w:color="auto"/>
              <w:right w:val="nil"/>
            </w:tcBorders>
            <w:shd w:val="clear" w:color="auto" w:fill="auto"/>
            <w:vAlign w:val="center"/>
            <w:hideMark/>
          </w:tcPr>
          <w:p w14:paraId="3D358FF1"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lang w:eastAsia="en-GB"/>
              </w:rPr>
              <w:t>2,589</w:t>
            </w:r>
          </w:p>
        </w:tc>
        <w:tc>
          <w:tcPr>
            <w:tcW w:w="1537" w:type="dxa"/>
            <w:tcBorders>
              <w:top w:val="nil"/>
              <w:left w:val="nil"/>
              <w:bottom w:val="single" w:sz="4" w:space="0" w:color="auto"/>
              <w:right w:val="nil"/>
            </w:tcBorders>
            <w:shd w:val="clear" w:color="auto" w:fill="auto"/>
            <w:vAlign w:val="center"/>
            <w:hideMark/>
          </w:tcPr>
          <w:p w14:paraId="4ADFE957"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lang w:eastAsia="en-GB"/>
              </w:rPr>
              <w:t>1,269</w:t>
            </w:r>
          </w:p>
        </w:tc>
        <w:tc>
          <w:tcPr>
            <w:tcW w:w="987" w:type="dxa"/>
            <w:tcBorders>
              <w:top w:val="nil"/>
              <w:left w:val="nil"/>
              <w:bottom w:val="single" w:sz="4" w:space="0" w:color="auto"/>
              <w:right w:val="nil"/>
            </w:tcBorders>
            <w:shd w:val="clear" w:color="auto" w:fill="auto"/>
            <w:vAlign w:val="center"/>
            <w:hideMark/>
          </w:tcPr>
          <w:p w14:paraId="0B0791D0"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lang w:eastAsia="en-GB"/>
              </w:rPr>
              <w:t>1,002</w:t>
            </w:r>
          </w:p>
        </w:tc>
        <w:tc>
          <w:tcPr>
            <w:tcW w:w="1121" w:type="dxa"/>
            <w:tcBorders>
              <w:top w:val="nil"/>
              <w:left w:val="nil"/>
              <w:bottom w:val="single" w:sz="4" w:space="0" w:color="auto"/>
              <w:right w:val="nil"/>
            </w:tcBorders>
            <w:shd w:val="clear" w:color="auto" w:fill="auto"/>
            <w:vAlign w:val="center"/>
            <w:hideMark/>
          </w:tcPr>
          <w:p w14:paraId="3C719EEC"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lang w:eastAsia="en-GB"/>
              </w:rPr>
              <w:t>1,865</w:t>
            </w:r>
          </w:p>
        </w:tc>
        <w:tc>
          <w:tcPr>
            <w:tcW w:w="1084" w:type="dxa"/>
            <w:tcBorders>
              <w:top w:val="nil"/>
              <w:left w:val="nil"/>
              <w:bottom w:val="single" w:sz="4" w:space="0" w:color="auto"/>
              <w:right w:val="nil"/>
            </w:tcBorders>
            <w:shd w:val="clear" w:color="auto" w:fill="auto"/>
            <w:vAlign w:val="center"/>
            <w:hideMark/>
          </w:tcPr>
          <w:p w14:paraId="6DEA8CB6"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lang w:eastAsia="en-GB"/>
              </w:rPr>
              <w:t>1,437</w:t>
            </w:r>
          </w:p>
        </w:tc>
        <w:tc>
          <w:tcPr>
            <w:tcW w:w="1134" w:type="dxa"/>
            <w:tcBorders>
              <w:top w:val="nil"/>
              <w:left w:val="nil"/>
              <w:bottom w:val="single" w:sz="4" w:space="0" w:color="auto"/>
              <w:right w:val="single" w:sz="4" w:space="0" w:color="auto"/>
            </w:tcBorders>
            <w:shd w:val="clear" w:color="auto" w:fill="auto"/>
            <w:vAlign w:val="center"/>
            <w:hideMark/>
          </w:tcPr>
          <w:p w14:paraId="5A251F2C"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lang w:eastAsia="en-GB"/>
              </w:rPr>
              <w:t>12,885</w:t>
            </w:r>
          </w:p>
        </w:tc>
      </w:tr>
      <w:tr w:rsidR="00AB46AF" w:rsidRPr="00331588" w14:paraId="7F4EFADC" w14:textId="77777777" w:rsidTr="00AB46AF">
        <w:trPr>
          <w:trHeight w:val="405"/>
        </w:trPr>
        <w:tc>
          <w:tcPr>
            <w:tcW w:w="3524" w:type="dxa"/>
            <w:tcBorders>
              <w:top w:val="nil"/>
              <w:left w:val="single" w:sz="4" w:space="0" w:color="auto"/>
              <w:bottom w:val="single" w:sz="4" w:space="0" w:color="auto"/>
              <w:right w:val="nil"/>
            </w:tcBorders>
            <w:shd w:val="clear" w:color="auto" w:fill="auto"/>
            <w:vAlign w:val="center"/>
            <w:hideMark/>
          </w:tcPr>
          <w:p w14:paraId="24F689B9" w14:textId="77777777" w:rsidR="00331588" w:rsidRPr="00331588" w:rsidRDefault="00331588" w:rsidP="00331588">
            <w:pPr>
              <w:spacing w:after="0" w:line="240" w:lineRule="auto"/>
              <w:rPr>
                <w:rFonts w:ascii="Arial" w:eastAsia="Times New Roman" w:hAnsi="Arial" w:cs="Arial"/>
                <w:lang w:eastAsia="en-GB"/>
              </w:rPr>
            </w:pPr>
            <w:r w:rsidRPr="00331588">
              <w:rPr>
                <w:rFonts w:ascii="Arial" w:eastAsia="Times New Roman" w:hAnsi="Arial" w:cs="Arial"/>
                <w:lang w:eastAsia="en-GB"/>
              </w:rPr>
              <w:t>Surplus/(deficit)</w:t>
            </w:r>
          </w:p>
        </w:tc>
        <w:tc>
          <w:tcPr>
            <w:tcW w:w="1328" w:type="dxa"/>
            <w:tcBorders>
              <w:top w:val="nil"/>
              <w:left w:val="nil"/>
              <w:bottom w:val="single" w:sz="4" w:space="0" w:color="auto"/>
              <w:right w:val="nil"/>
            </w:tcBorders>
            <w:shd w:val="clear" w:color="000000" w:fill="D9D9D9"/>
            <w:vAlign w:val="center"/>
            <w:hideMark/>
          </w:tcPr>
          <w:p w14:paraId="210E3894"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lang w:eastAsia="en-GB"/>
              </w:rPr>
              <w:t> </w:t>
            </w:r>
          </w:p>
        </w:tc>
        <w:tc>
          <w:tcPr>
            <w:tcW w:w="1280" w:type="dxa"/>
            <w:tcBorders>
              <w:top w:val="nil"/>
              <w:left w:val="nil"/>
              <w:bottom w:val="single" w:sz="4" w:space="0" w:color="auto"/>
              <w:right w:val="nil"/>
            </w:tcBorders>
            <w:shd w:val="clear" w:color="auto" w:fill="auto"/>
            <w:vAlign w:val="center"/>
            <w:hideMark/>
          </w:tcPr>
          <w:p w14:paraId="399D4C59"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color w:val="000000"/>
                <w:lang w:eastAsia="en-GB"/>
              </w:rPr>
              <w:t>(1,856)</w:t>
            </w:r>
          </w:p>
        </w:tc>
        <w:tc>
          <w:tcPr>
            <w:tcW w:w="1651" w:type="dxa"/>
            <w:tcBorders>
              <w:top w:val="nil"/>
              <w:left w:val="nil"/>
              <w:bottom w:val="single" w:sz="4" w:space="0" w:color="auto"/>
              <w:right w:val="nil"/>
            </w:tcBorders>
            <w:shd w:val="clear" w:color="auto" w:fill="auto"/>
            <w:vAlign w:val="center"/>
            <w:hideMark/>
          </w:tcPr>
          <w:p w14:paraId="6286D037"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color w:val="000000"/>
                <w:lang w:eastAsia="en-GB"/>
              </w:rPr>
              <w:t>(1,303)</w:t>
            </w:r>
          </w:p>
        </w:tc>
        <w:tc>
          <w:tcPr>
            <w:tcW w:w="1234" w:type="dxa"/>
            <w:tcBorders>
              <w:top w:val="nil"/>
              <w:left w:val="nil"/>
              <w:bottom w:val="single" w:sz="4" w:space="0" w:color="auto"/>
              <w:right w:val="nil"/>
            </w:tcBorders>
            <w:shd w:val="clear" w:color="auto" w:fill="auto"/>
            <w:vAlign w:val="center"/>
            <w:hideMark/>
          </w:tcPr>
          <w:p w14:paraId="68EEBEAC"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color w:val="000000"/>
                <w:lang w:eastAsia="en-GB"/>
              </w:rPr>
              <w:t>(682)</w:t>
            </w:r>
          </w:p>
        </w:tc>
        <w:tc>
          <w:tcPr>
            <w:tcW w:w="1537" w:type="dxa"/>
            <w:tcBorders>
              <w:top w:val="nil"/>
              <w:left w:val="nil"/>
              <w:bottom w:val="single" w:sz="4" w:space="0" w:color="auto"/>
              <w:right w:val="nil"/>
            </w:tcBorders>
            <w:shd w:val="clear" w:color="auto" w:fill="auto"/>
            <w:vAlign w:val="center"/>
            <w:hideMark/>
          </w:tcPr>
          <w:p w14:paraId="2A15AD85"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color w:val="000000"/>
                <w:lang w:eastAsia="en-GB"/>
              </w:rPr>
              <w:t>(323)</w:t>
            </w:r>
          </w:p>
        </w:tc>
        <w:tc>
          <w:tcPr>
            <w:tcW w:w="987" w:type="dxa"/>
            <w:tcBorders>
              <w:top w:val="nil"/>
              <w:left w:val="nil"/>
              <w:bottom w:val="single" w:sz="4" w:space="0" w:color="auto"/>
              <w:right w:val="nil"/>
            </w:tcBorders>
            <w:shd w:val="clear" w:color="auto" w:fill="auto"/>
            <w:vAlign w:val="center"/>
            <w:hideMark/>
          </w:tcPr>
          <w:p w14:paraId="1CAE8369"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color w:val="000000"/>
                <w:lang w:eastAsia="en-GB"/>
              </w:rPr>
              <w:t>(347)</w:t>
            </w:r>
          </w:p>
        </w:tc>
        <w:tc>
          <w:tcPr>
            <w:tcW w:w="1121" w:type="dxa"/>
            <w:tcBorders>
              <w:top w:val="nil"/>
              <w:left w:val="nil"/>
              <w:bottom w:val="single" w:sz="4" w:space="0" w:color="auto"/>
              <w:right w:val="nil"/>
            </w:tcBorders>
            <w:shd w:val="clear" w:color="auto" w:fill="auto"/>
            <w:vAlign w:val="center"/>
            <w:hideMark/>
          </w:tcPr>
          <w:p w14:paraId="6DF4208B"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color w:val="000000"/>
                <w:lang w:eastAsia="en-GB"/>
              </w:rPr>
              <w:t>(771)</w:t>
            </w:r>
          </w:p>
        </w:tc>
        <w:tc>
          <w:tcPr>
            <w:tcW w:w="1084" w:type="dxa"/>
            <w:tcBorders>
              <w:top w:val="nil"/>
              <w:left w:val="nil"/>
              <w:bottom w:val="single" w:sz="4" w:space="0" w:color="auto"/>
              <w:right w:val="nil"/>
            </w:tcBorders>
            <w:shd w:val="clear" w:color="auto" w:fill="auto"/>
            <w:vAlign w:val="center"/>
            <w:hideMark/>
          </w:tcPr>
          <w:p w14:paraId="499166B0"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color w:val="000000"/>
                <w:lang w:eastAsia="en-GB"/>
              </w:rPr>
              <w:t>(322)</w:t>
            </w:r>
          </w:p>
        </w:tc>
        <w:tc>
          <w:tcPr>
            <w:tcW w:w="1134" w:type="dxa"/>
            <w:tcBorders>
              <w:top w:val="nil"/>
              <w:left w:val="nil"/>
              <w:bottom w:val="single" w:sz="4" w:space="0" w:color="auto"/>
              <w:right w:val="single" w:sz="4" w:space="0" w:color="auto"/>
            </w:tcBorders>
            <w:shd w:val="clear" w:color="auto" w:fill="auto"/>
            <w:vAlign w:val="center"/>
            <w:hideMark/>
          </w:tcPr>
          <w:p w14:paraId="6A1D40E2"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color w:val="000000"/>
                <w:lang w:eastAsia="en-GB"/>
              </w:rPr>
              <w:t>(3,935)</w:t>
            </w:r>
          </w:p>
        </w:tc>
      </w:tr>
      <w:tr w:rsidR="00AB46AF" w:rsidRPr="00331588" w14:paraId="0E9C4367" w14:textId="77777777" w:rsidTr="00AB46AF">
        <w:trPr>
          <w:trHeight w:val="690"/>
        </w:trPr>
        <w:tc>
          <w:tcPr>
            <w:tcW w:w="3524" w:type="dxa"/>
            <w:tcBorders>
              <w:top w:val="nil"/>
              <w:left w:val="single" w:sz="4" w:space="0" w:color="auto"/>
              <w:bottom w:val="nil"/>
              <w:right w:val="nil"/>
            </w:tcBorders>
            <w:shd w:val="clear" w:color="auto" w:fill="auto"/>
            <w:vAlign w:val="center"/>
            <w:hideMark/>
          </w:tcPr>
          <w:p w14:paraId="13FAC52F" w14:textId="77777777" w:rsidR="00331588" w:rsidRPr="00331588" w:rsidRDefault="00331588" w:rsidP="00331588">
            <w:pPr>
              <w:spacing w:after="0" w:line="240" w:lineRule="auto"/>
              <w:rPr>
                <w:rFonts w:ascii="Arial" w:eastAsia="Times New Roman" w:hAnsi="Arial" w:cs="Arial"/>
                <w:lang w:eastAsia="en-GB"/>
              </w:rPr>
            </w:pPr>
            <w:r w:rsidRPr="00331588">
              <w:rPr>
                <w:rFonts w:ascii="Arial" w:eastAsia="Times New Roman" w:hAnsi="Arial" w:cs="Arial"/>
                <w:lang w:eastAsia="en-GB"/>
              </w:rPr>
              <w:t>Surplus/(deficit) as % of income</w:t>
            </w:r>
          </w:p>
        </w:tc>
        <w:tc>
          <w:tcPr>
            <w:tcW w:w="1328" w:type="dxa"/>
            <w:tcBorders>
              <w:top w:val="nil"/>
              <w:left w:val="nil"/>
              <w:bottom w:val="nil"/>
              <w:right w:val="nil"/>
            </w:tcBorders>
            <w:shd w:val="clear" w:color="000000" w:fill="D9D9D9"/>
            <w:vAlign w:val="center"/>
            <w:hideMark/>
          </w:tcPr>
          <w:p w14:paraId="166B47E9"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lang w:eastAsia="en-GB"/>
              </w:rPr>
              <w:t> </w:t>
            </w:r>
          </w:p>
        </w:tc>
        <w:tc>
          <w:tcPr>
            <w:tcW w:w="1280" w:type="dxa"/>
            <w:tcBorders>
              <w:top w:val="nil"/>
              <w:left w:val="nil"/>
              <w:bottom w:val="nil"/>
              <w:right w:val="nil"/>
            </w:tcBorders>
            <w:shd w:val="clear" w:color="auto" w:fill="auto"/>
            <w:vAlign w:val="center"/>
            <w:hideMark/>
          </w:tcPr>
          <w:p w14:paraId="2CB27316"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color w:val="000000"/>
                <w:lang w:eastAsia="en-GB"/>
              </w:rPr>
              <w:t>(</w:t>
            </w:r>
            <w:proofErr w:type="gramStart"/>
            <w:r w:rsidRPr="00331588">
              <w:rPr>
                <w:rFonts w:ascii="Arial" w:eastAsia="Times New Roman" w:hAnsi="Arial" w:cs="Arial"/>
                <w:color w:val="000000"/>
                <w:lang w:eastAsia="en-GB"/>
              </w:rPr>
              <w:t>374.0)%</w:t>
            </w:r>
            <w:proofErr w:type="gramEnd"/>
          </w:p>
        </w:tc>
        <w:tc>
          <w:tcPr>
            <w:tcW w:w="1651" w:type="dxa"/>
            <w:tcBorders>
              <w:top w:val="nil"/>
              <w:left w:val="nil"/>
              <w:bottom w:val="nil"/>
              <w:right w:val="nil"/>
            </w:tcBorders>
            <w:shd w:val="clear" w:color="auto" w:fill="auto"/>
            <w:vAlign w:val="center"/>
            <w:hideMark/>
          </w:tcPr>
          <w:p w14:paraId="54F5EABB"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color w:val="000000"/>
                <w:lang w:eastAsia="en-GB"/>
              </w:rPr>
              <w:t>(</w:t>
            </w:r>
            <w:proofErr w:type="gramStart"/>
            <w:r w:rsidRPr="00331588">
              <w:rPr>
                <w:rFonts w:ascii="Arial" w:eastAsia="Times New Roman" w:hAnsi="Arial" w:cs="Arial"/>
                <w:color w:val="000000"/>
                <w:lang w:eastAsia="en-GB"/>
              </w:rPr>
              <w:t>121.9)%</w:t>
            </w:r>
            <w:proofErr w:type="gramEnd"/>
          </w:p>
        </w:tc>
        <w:tc>
          <w:tcPr>
            <w:tcW w:w="1234" w:type="dxa"/>
            <w:tcBorders>
              <w:top w:val="nil"/>
              <w:left w:val="nil"/>
              <w:bottom w:val="nil"/>
              <w:right w:val="nil"/>
            </w:tcBorders>
            <w:shd w:val="clear" w:color="auto" w:fill="auto"/>
            <w:vAlign w:val="center"/>
            <w:hideMark/>
          </w:tcPr>
          <w:p w14:paraId="793AFCAB"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color w:val="000000"/>
                <w:lang w:eastAsia="en-GB"/>
              </w:rPr>
              <w:t>(</w:t>
            </w:r>
            <w:proofErr w:type="gramStart"/>
            <w:r w:rsidRPr="00331588">
              <w:rPr>
                <w:rFonts w:ascii="Arial" w:eastAsia="Times New Roman" w:hAnsi="Arial" w:cs="Arial"/>
                <w:color w:val="000000"/>
                <w:lang w:eastAsia="en-GB"/>
              </w:rPr>
              <w:t>35.7)%</w:t>
            </w:r>
            <w:proofErr w:type="gramEnd"/>
          </w:p>
        </w:tc>
        <w:tc>
          <w:tcPr>
            <w:tcW w:w="1537" w:type="dxa"/>
            <w:tcBorders>
              <w:top w:val="nil"/>
              <w:left w:val="nil"/>
              <w:bottom w:val="nil"/>
              <w:right w:val="nil"/>
            </w:tcBorders>
            <w:shd w:val="clear" w:color="auto" w:fill="auto"/>
            <w:vAlign w:val="center"/>
            <w:hideMark/>
          </w:tcPr>
          <w:p w14:paraId="66FC2C2C"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color w:val="000000"/>
                <w:lang w:eastAsia="en-GB"/>
              </w:rPr>
              <w:t>(</w:t>
            </w:r>
            <w:proofErr w:type="gramStart"/>
            <w:r w:rsidRPr="00331588">
              <w:rPr>
                <w:rFonts w:ascii="Arial" w:eastAsia="Times New Roman" w:hAnsi="Arial" w:cs="Arial"/>
                <w:color w:val="000000"/>
                <w:lang w:eastAsia="en-GB"/>
              </w:rPr>
              <w:t>34.2)%</w:t>
            </w:r>
            <w:proofErr w:type="gramEnd"/>
          </w:p>
        </w:tc>
        <w:tc>
          <w:tcPr>
            <w:tcW w:w="987" w:type="dxa"/>
            <w:tcBorders>
              <w:top w:val="nil"/>
              <w:left w:val="nil"/>
              <w:bottom w:val="nil"/>
              <w:right w:val="nil"/>
            </w:tcBorders>
            <w:shd w:val="clear" w:color="auto" w:fill="auto"/>
            <w:vAlign w:val="center"/>
            <w:hideMark/>
          </w:tcPr>
          <w:p w14:paraId="73377E28"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color w:val="000000"/>
                <w:lang w:eastAsia="en-GB"/>
              </w:rPr>
              <w:t>(</w:t>
            </w:r>
            <w:proofErr w:type="gramStart"/>
            <w:r w:rsidRPr="00331588">
              <w:rPr>
                <w:rFonts w:ascii="Arial" w:eastAsia="Times New Roman" w:hAnsi="Arial" w:cs="Arial"/>
                <w:color w:val="000000"/>
                <w:lang w:eastAsia="en-GB"/>
              </w:rPr>
              <w:t>53.1)%</w:t>
            </w:r>
            <w:proofErr w:type="gramEnd"/>
          </w:p>
        </w:tc>
        <w:tc>
          <w:tcPr>
            <w:tcW w:w="1121" w:type="dxa"/>
            <w:tcBorders>
              <w:top w:val="nil"/>
              <w:left w:val="nil"/>
              <w:bottom w:val="nil"/>
              <w:right w:val="nil"/>
            </w:tcBorders>
            <w:shd w:val="clear" w:color="auto" w:fill="auto"/>
            <w:vAlign w:val="center"/>
            <w:hideMark/>
          </w:tcPr>
          <w:p w14:paraId="32EFAD22"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color w:val="000000"/>
                <w:lang w:eastAsia="en-GB"/>
              </w:rPr>
              <w:t>(</w:t>
            </w:r>
            <w:proofErr w:type="gramStart"/>
            <w:r w:rsidRPr="00331588">
              <w:rPr>
                <w:rFonts w:ascii="Arial" w:eastAsia="Times New Roman" w:hAnsi="Arial" w:cs="Arial"/>
                <w:color w:val="000000"/>
                <w:lang w:eastAsia="en-GB"/>
              </w:rPr>
              <w:t>70.4)%</w:t>
            </w:r>
            <w:proofErr w:type="gramEnd"/>
          </w:p>
        </w:tc>
        <w:tc>
          <w:tcPr>
            <w:tcW w:w="1084" w:type="dxa"/>
            <w:tcBorders>
              <w:top w:val="nil"/>
              <w:left w:val="nil"/>
              <w:bottom w:val="nil"/>
              <w:right w:val="nil"/>
            </w:tcBorders>
            <w:shd w:val="clear" w:color="auto" w:fill="auto"/>
            <w:vAlign w:val="center"/>
            <w:hideMark/>
          </w:tcPr>
          <w:p w14:paraId="2FD1BAB5"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color w:val="000000"/>
                <w:lang w:eastAsia="en-GB"/>
              </w:rPr>
              <w:t>(</w:t>
            </w:r>
            <w:proofErr w:type="gramStart"/>
            <w:r w:rsidRPr="00331588">
              <w:rPr>
                <w:rFonts w:ascii="Arial" w:eastAsia="Times New Roman" w:hAnsi="Arial" w:cs="Arial"/>
                <w:color w:val="000000"/>
                <w:lang w:eastAsia="en-GB"/>
              </w:rPr>
              <w:t>28.9)%</w:t>
            </w:r>
            <w:proofErr w:type="gramEnd"/>
          </w:p>
        </w:tc>
        <w:tc>
          <w:tcPr>
            <w:tcW w:w="1134" w:type="dxa"/>
            <w:tcBorders>
              <w:top w:val="nil"/>
              <w:left w:val="nil"/>
              <w:bottom w:val="nil"/>
              <w:right w:val="single" w:sz="4" w:space="0" w:color="auto"/>
            </w:tcBorders>
            <w:shd w:val="clear" w:color="auto" w:fill="auto"/>
            <w:vAlign w:val="center"/>
            <w:hideMark/>
          </w:tcPr>
          <w:p w14:paraId="1BF484ED"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color w:val="000000"/>
                <w:lang w:eastAsia="en-GB"/>
              </w:rPr>
              <w:t>(</w:t>
            </w:r>
            <w:proofErr w:type="gramStart"/>
            <w:r w:rsidRPr="00331588">
              <w:rPr>
                <w:rFonts w:ascii="Arial" w:eastAsia="Times New Roman" w:hAnsi="Arial" w:cs="Arial"/>
                <w:color w:val="000000"/>
                <w:lang w:eastAsia="en-GB"/>
              </w:rPr>
              <w:t>44.0)%</w:t>
            </w:r>
            <w:proofErr w:type="gramEnd"/>
          </w:p>
        </w:tc>
      </w:tr>
      <w:tr w:rsidR="00AB46AF" w:rsidRPr="00331588" w14:paraId="46C08CB4" w14:textId="77777777" w:rsidTr="00AB46AF">
        <w:trPr>
          <w:trHeight w:val="420"/>
        </w:trPr>
        <w:tc>
          <w:tcPr>
            <w:tcW w:w="3524" w:type="dxa"/>
            <w:tcBorders>
              <w:top w:val="nil"/>
              <w:left w:val="single" w:sz="4" w:space="0" w:color="auto"/>
              <w:bottom w:val="nil"/>
              <w:right w:val="nil"/>
            </w:tcBorders>
            <w:shd w:val="clear" w:color="auto" w:fill="auto"/>
            <w:vAlign w:val="center"/>
            <w:hideMark/>
          </w:tcPr>
          <w:p w14:paraId="1BD28EF3" w14:textId="77777777" w:rsidR="00331588" w:rsidRPr="00331588" w:rsidRDefault="00331588" w:rsidP="00331588">
            <w:pPr>
              <w:spacing w:after="0" w:line="240" w:lineRule="auto"/>
              <w:rPr>
                <w:rFonts w:ascii="Arial" w:eastAsia="Times New Roman" w:hAnsi="Arial" w:cs="Arial"/>
                <w:b/>
                <w:bCs/>
                <w:lang w:eastAsia="en-GB"/>
              </w:rPr>
            </w:pPr>
            <w:r w:rsidRPr="00331588">
              <w:rPr>
                <w:rFonts w:ascii="Arial" w:eastAsia="Times New Roman" w:hAnsi="Arial" w:cs="Arial"/>
                <w:b/>
                <w:bCs/>
                <w:lang w:eastAsia="en-GB"/>
              </w:rPr>
              <w:t>Recovery of full economic costs %</w:t>
            </w:r>
          </w:p>
        </w:tc>
        <w:tc>
          <w:tcPr>
            <w:tcW w:w="1328" w:type="dxa"/>
            <w:tcBorders>
              <w:top w:val="nil"/>
              <w:left w:val="nil"/>
              <w:bottom w:val="nil"/>
              <w:right w:val="nil"/>
            </w:tcBorders>
            <w:shd w:val="clear" w:color="000000" w:fill="D9D9D9"/>
            <w:vAlign w:val="center"/>
            <w:hideMark/>
          </w:tcPr>
          <w:p w14:paraId="77C2D385" w14:textId="77777777" w:rsidR="00331588" w:rsidRPr="00331588" w:rsidRDefault="00331588" w:rsidP="00331588">
            <w:pPr>
              <w:spacing w:after="0" w:line="240" w:lineRule="auto"/>
              <w:jc w:val="right"/>
              <w:rPr>
                <w:rFonts w:ascii="Arial" w:eastAsia="Times New Roman" w:hAnsi="Arial" w:cs="Arial"/>
                <w:b/>
                <w:bCs/>
                <w:lang w:eastAsia="en-GB"/>
              </w:rPr>
            </w:pPr>
            <w:r w:rsidRPr="00331588">
              <w:rPr>
                <w:rFonts w:ascii="Arial" w:eastAsia="Times New Roman" w:hAnsi="Arial" w:cs="Arial"/>
                <w:b/>
                <w:bCs/>
                <w:lang w:eastAsia="en-GB"/>
              </w:rPr>
              <w:t> </w:t>
            </w:r>
          </w:p>
        </w:tc>
        <w:tc>
          <w:tcPr>
            <w:tcW w:w="1280" w:type="dxa"/>
            <w:tcBorders>
              <w:top w:val="nil"/>
              <w:left w:val="nil"/>
              <w:bottom w:val="nil"/>
              <w:right w:val="nil"/>
            </w:tcBorders>
            <w:shd w:val="clear" w:color="auto" w:fill="auto"/>
            <w:vAlign w:val="center"/>
            <w:hideMark/>
          </w:tcPr>
          <w:p w14:paraId="08398DF4" w14:textId="77777777" w:rsidR="00331588" w:rsidRPr="00331588" w:rsidRDefault="00331588" w:rsidP="00331588">
            <w:pPr>
              <w:spacing w:after="0" w:line="240" w:lineRule="auto"/>
              <w:jc w:val="right"/>
              <w:rPr>
                <w:rFonts w:ascii="Arial" w:eastAsia="Times New Roman" w:hAnsi="Arial" w:cs="Arial"/>
                <w:b/>
                <w:bCs/>
                <w:lang w:eastAsia="en-GB"/>
              </w:rPr>
            </w:pPr>
            <w:r w:rsidRPr="00331588">
              <w:rPr>
                <w:rFonts w:ascii="Arial" w:eastAsia="Times New Roman" w:hAnsi="Arial" w:cs="Arial"/>
                <w:b/>
                <w:bCs/>
                <w:lang w:eastAsia="en-GB"/>
              </w:rPr>
              <w:t>21.1%</w:t>
            </w:r>
          </w:p>
        </w:tc>
        <w:tc>
          <w:tcPr>
            <w:tcW w:w="1651" w:type="dxa"/>
            <w:tcBorders>
              <w:top w:val="nil"/>
              <w:left w:val="nil"/>
              <w:bottom w:val="nil"/>
              <w:right w:val="nil"/>
            </w:tcBorders>
            <w:shd w:val="clear" w:color="auto" w:fill="auto"/>
            <w:vAlign w:val="center"/>
            <w:hideMark/>
          </w:tcPr>
          <w:p w14:paraId="23078E34" w14:textId="77777777" w:rsidR="00331588" w:rsidRPr="00331588" w:rsidRDefault="00331588" w:rsidP="00331588">
            <w:pPr>
              <w:spacing w:after="0" w:line="240" w:lineRule="auto"/>
              <w:jc w:val="right"/>
              <w:rPr>
                <w:rFonts w:ascii="Arial" w:eastAsia="Times New Roman" w:hAnsi="Arial" w:cs="Arial"/>
                <w:b/>
                <w:bCs/>
                <w:lang w:eastAsia="en-GB"/>
              </w:rPr>
            </w:pPr>
            <w:r w:rsidRPr="00331588">
              <w:rPr>
                <w:rFonts w:ascii="Arial" w:eastAsia="Times New Roman" w:hAnsi="Arial" w:cs="Arial"/>
                <w:b/>
                <w:bCs/>
                <w:lang w:eastAsia="en-GB"/>
              </w:rPr>
              <w:t>45.1%</w:t>
            </w:r>
          </w:p>
        </w:tc>
        <w:tc>
          <w:tcPr>
            <w:tcW w:w="1234" w:type="dxa"/>
            <w:tcBorders>
              <w:top w:val="nil"/>
              <w:left w:val="nil"/>
              <w:bottom w:val="nil"/>
              <w:right w:val="nil"/>
            </w:tcBorders>
            <w:shd w:val="clear" w:color="auto" w:fill="auto"/>
            <w:vAlign w:val="center"/>
            <w:hideMark/>
          </w:tcPr>
          <w:p w14:paraId="73E71C15" w14:textId="77777777" w:rsidR="00331588" w:rsidRPr="00331588" w:rsidRDefault="00331588" w:rsidP="00331588">
            <w:pPr>
              <w:spacing w:after="0" w:line="240" w:lineRule="auto"/>
              <w:jc w:val="right"/>
              <w:rPr>
                <w:rFonts w:ascii="Arial" w:eastAsia="Times New Roman" w:hAnsi="Arial" w:cs="Arial"/>
                <w:b/>
                <w:bCs/>
                <w:lang w:eastAsia="en-GB"/>
              </w:rPr>
            </w:pPr>
            <w:r w:rsidRPr="00331588">
              <w:rPr>
                <w:rFonts w:ascii="Arial" w:eastAsia="Times New Roman" w:hAnsi="Arial" w:cs="Arial"/>
                <w:b/>
                <w:bCs/>
                <w:lang w:eastAsia="en-GB"/>
              </w:rPr>
              <w:t>73.7%</w:t>
            </w:r>
          </w:p>
        </w:tc>
        <w:tc>
          <w:tcPr>
            <w:tcW w:w="1537" w:type="dxa"/>
            <w:tcBorders>
              <w:top w:val="nil"/>
              <w:left w:val="nil"/>
              <w:bottom w:val="nil"/>
              <w:right w:val="nil"/>
            </w:tcBorders>
            <w:shd w:val="clear" w:color="auto" w:fill="auto"/>
            <w:vAlign w:val="center"/>
            <w:hideMark/>
          </w:tcPr>
          <w:p w14:paraId="042D3E81" w14:textId="77777777" w:rsidR="00331588" w:rsidRPr="00331588" w:rsidRDefault="00331588" w:rsidP="00331588">
            <w:pPr>
              <w:spacing w:after="0" w:line="240" w:lineRule="auto"/>
              <w:jc w:val="right"/>
              <w:rPr>
                <w:rFonts w:ascii="Arial" w:eastAsia="Times New Roman" w:hAnsi="Arial" w:cs="Arial"/>
                <w:b/>
                <w:bCs/>
                <w:lang w:eastAsia="en-GB"/>
              </w:rPr>
            </w:pPr>
            <w:r w:rsidRPr="00331588">
              <w:rPr>
                <w:rFonts w:ascii="Arial" w:eastAsia="Times New Roman" w:hAnsi="Arial" w:cs="Arial"/>
                <w:b/>
                <w:bCs/>
                <w:lang w:eastAsia="en-GB"/>
              </w:rPr>
              <w:t>74.5%</w:t>
            </w:r>
          </w:p>
        </w:tc>
        <w:tc>
          <w:tcPr>
            <w:tcW w:w="987" w:type="dxa"/>
            <w:tcBorders>
              <w:top w:val="nil"/>
              <w:left w:val="nil"/>
              <w:bottom w:val="nil"/>
              <w:right w:val="nil"/>
            </w:tcBorders>
            <w:shd w:val="clear" w:color="auto" w:fill="auto"/>
            <w:vAlign w:val="center"/>
            <w:hideMark/>
          </w:tcPr>
          <w:p w14:paraId="56C38B7E" w14:textId="77777777" w:rsidR="00331588" w:rsidRPr="00331588" w:rsidRDefault="00331588" w:rsidP="00331588">
            <w:pPr>
              <w:spacing w:after="0" w:line="240" w:lineRule="auto"/>
              <w:jc w:val="right"/>
              <w:rPr>
                <w:rFonts w:ascii="Arial" w:eastAsia="Times New Roman" w:hAnsi="Arial" w:cs="Arial"/>
                <w:b/>
                <w:bCs/>
                <w:lang w:eastAsia="en-GB"/>
              </w:rPr>
            </w:pPr>
            <w:r w:rsidRPr="00331588">
              <w:rPr>
                <w:rFonts w:ascii="Arial" w:eastAsia="Times New Roman" w:hAnsi="Arial" w:cs="Arial"/>
                <w:b/>
                <w:bCs/>
                <w:lang w:eastAsia="en-GB"/>
              </w:rPr>
              <w:t>65.3%</w:t>
            </w:r>
          </w:p>
        </w:tc>
        <w:tc>
          <w:tcPr>
            <w:tcW w:w="1121" w:type="dxa"/>
            <w:tcBorders>
              <w:top w:val="nil"/>
              <w:left w:val="nil"/>
              <w:bottom w:val="nil"/>
              <w:right w:val="nil"/>
            </w:tcBorders>
            <w:shd w:val="clear" w:color="auto" w:fill="auto"/>
            <w:vAlign w:val="center"/>
            <w:hideMark/>
          </w:tcPr>
          <w:p w14:paraId="26CB3632" w14:textId="77777777" w:rsidR="00331588" w:rsidRPr="00331588" w:rsidRDefault="00331588" w:rsidP="00331588">
            <w:pPr>
              <w:spacing w:after="0" w:line="240" w:lineRule="auto"/>
              <w:jc w:val="right"/>
              <w:rPr>
                <w:rFonts w:ascii="Arial" w:eastAsia="Times New Roman" w:hAnsi="Arial" w:cs="Arial"/>
                <w:b/>
                <w:bCs/>
                <w:lang w:eastAsia="en-GB"/>
              </w:rPr>
            </w:pPr>
            <w:r w:rsidRPr="00331588">
              <w:rPr>
                <w:rFonts w:ascii="Arial" w:eastAsia="Times New Roman" w:hAnsi="Arial" w:cs="Arial"/>
                <w:b/>
                <w:bCs/>
                <w:lang w:eastAsia="en-GB"/>
              </w:rPr>
              <w:t>58.7%</w:t>
            </w:r>
          </w:p>
        </w:tc>
        <w:tc>
          <w:tcPr>
            <w:tcW w:w="1084" w:type="dxa"/>
            <w:tcBorders>
              <w:top w:val="nil"/>
              <w:left w:val="nil"/>
              <w:bottom w:val="nil"/>
              <w:right w:val="nil"/>
            </w:tcBorders>
            <w:shd w:val="clear" w:color="auto" w:fill="auto"/>
            <w:vAlign w:val="center"/>
            <w:hideMark/>
          </w:tcPr>
          <w:p w14:paraId="5CEAD256" w14:textId="77777777" w:rsidR="00331588" w:rsidRPr="00331588" w:rsidRDefault="00331588" w:rsidP="00331588">
            <w:pPr>
              <w:spacing w:after="0" w:line="240" w:lineRule="auto"/>
              <w:jc w:val="right"/>
              <w:rPr>
                <w:rFonts w:ascii="Arial" w:eastAsia="Times New Roman" w:hAnsi="Arial" w:cs="Arial"/>
                <w:b/>
                <w:bCs/>
                <w:lang w:eastAsia="en-GB"/>
              </w:rPr>
            </w:pPr>
            <w:r w:rsidRPr="00331588">
              <w:rPr>
                <w:rFonts w:ascii="Arial" w:eastAsia="Times New Roman" w:hAnsi="Arial" w:cs="Arial"/>
                <w:b/>
                <w:bCs/>
                <w:lang w:eastAsia="en-GB"/>
              </w:rPr>
              <w:t>77.6%</w:t>
            </w:r>
          </w:p>
        </w:tc>
        <w:tc>
          <w:tcPr>
            <w:tcW w:w="1134" w:type="dxa"/>
            <w:tcBorders>
              <w:top w:val="nil"/>
              <w:left w:val="nil"/>
              <w:bottom w:val="nil"/>
              <w:right w:val="single" w:sz="4" w:space="0" w:color="auto"/>
            </w:tcBorders>
            <w:shd w:val="clear" w:color="auto" w:fill="auto"/>
            <w:vAlign w:val="center"/>
            <w:hideMark/>
          </w:tcPr>
          <w:p w14:paraId="37941398" w14:textId="77777777" w:rsidR="00331588" w:rsidRPr="00331588" w:rsidRDefault="00331588" w:rsidP="00331588">
            <w:pPr>
              <w:spacing w:after="0" w:line="240" w:lineRule="auto"/>
              <w:jc w:val="right"/>
              <w:rPr>
                <w:rFonts w:ascii="Arial" w:eastAsia="Times New Roman" w:hAnsi="Arial" w:cs="Arial"/>
                <w:b/>
                <w:bCs/>
                <w:lang w:eastAsia="en-GB"/>
              </w:rPr>
            </w:pPr>
            <w:r w:rsidRPr="00331588">
              <w:rPr>
                <w:rFonts w:ascii="Arial" w:eastAsia="Times New Roman" w:hAnsi="Arial" w:cs="Arial"/>
                <w:b/>
                <w:bCs/>
                <w:lang w:eastAsia="en-GB"/>
              </w:rPr>
              <w:t>69.5%</w:t>
            </w:r>
          </w:p>
        </w:tc>
      </w:tr>
      <w:tr w:rsidR="00AB46AF" w:rsidRPr="00331588" w14:paraId="13967CAC" w14:textId="77777777" w:rsidTr="00AB46AF">
        <w:trPr>
          <w:trHeight w:val="690"/>
        </w:trPr>
        <w:tc>
          <w:tcPr>
            <w:tcW w:w="3524" w:type="dxa"/>
            <w:tcBorders>
              <w:top w:val="nil"/>
              <w:left w:val="single" w:sz="4" w:space="0" w:color="auto"/>
              <w:bottom w:val="single" w:sz="4" w:space="0" w:color="auto"/>
              <w:right w:val="nil"/>
            </w:tcBorders>
            <w:shd w:val="clear" w:color="auto" w:fill="auto"/>
            <w:vAlign w:val="center"/>
            <w:hideMark/>
          </w:tcPr>
          <w:p w14:paraId="63E2B11A" w14:textId="77777777" w:rsidR="00331588" w:rsidRPr="00331588" w:rsidRDefault="00331588" w:rsidP="00331588">
            <w:pPr>
              <w:spacing w:after="0" w:line="240" w:lineRule="auto"/>
              <w:rPr>
                <w:rFonts w:ascii="Arial" w:eastAsia="Times New Roman" w:hAnsi="Arial" w:cs="Arial"/>
                <w:lang w:eastAsia="en-GB"/>
              </w:rPr>
            </w:pPr>
            <w:r w:rsidRPr="00331588">
              <w:rPr>
                <w:rFonts w:ascii="Arial" w:eastAsia="Times New Roman" w:hAnsi="Arial" w:cs="Arial"/>
                <w:lang w:eastAsia="en-GB"/>
              </w:rPr>
              <w:t>Recovery of full economic costs % (2017-18)</w:t>
            </w:r>
          </w:p>
        </w:tc>
        <w:tc>
          <w:tcPr>
            <w:tcW w:w="1328" w:type="dxa"/>
            <w:tcBorders>
              <w:top w:val="nil"/>
              <w:left w:val="nil"/>
              <w:bottom w:val="single" w:sz="4" w:space="0" w:color="auto"/>
              <w:right w:val="nil"/>
            </w:tcBorders>
            <w:shd w:val="clear" w:color="000000" w:fill="D9D9D9"/>
            <w:vAlign w:val="center"/>
            <w:hideMark/>
          </w:tcPr>
          <w:p w14:paraId="0AB118E0"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lang w:eastAsia="en-GB"/>
              </w:rPr>
              <w:t> </w:t>
            </w:r>
          </w:p>
        </w:tc>
        <w:tc>
          <w:tcPr>
            <w:tcW w:w="1280" w:type="dxa"/>
            <w:tcBorders>
              <w:top w:val="nil"/>
              <w:left w:val="nil"/>
              <w:bottom w:val="single" w:sz="4" w:space="0" w:color="auto"/>
              <w:right w:val="nil"/>
            </w:tcBorders>
            <w:shd w:val="clear" w:color="auto" w:fill="auto"/>
            <w:vAlign w:val="center"/>
            <w:hideMark/>
          </w:tcPr>
          <w:p w14:paraId="47140877"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lang w:eastAsia="en-GB"/>
              </w:rPr>
              <w:t>16.8%</w:t>
            </w:r>
          </w:p>
        </w:tc>
        <w:tc>
          <w:tcPr>
            <w:tcW w:w="1651" w:type="dxa"/>
            <w:tcBorders>
              <w:top w:val="nil"/>
              <w:left w:val="nil"/>
              <w:bottom w:val="single" w:sz="4" w:space="0" w:color="auto"/>
              <w:right w:val="nil"/>
            </w:tcBorders>
            <w:shd w:val="clear" w:color="auto" w:fill="auto"/>
            <w:vAlign w:val="center"/>
            <w:hideMark/>
          </w:tcPr>
          <w:p w14:paraId="669594D2"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lang w:eastAsia="en-GB"/>
              </w:rPr>
              <w:t>47.0%</w:t>
            </w:r>
          </w:p>
        </w:tc>
        <w:tc>
          <w:tcPr>
            <w:tcW w:w="1234" w:type="dxa"/>
            <w:tcBorders>
              <w:top w:val="nil"/>
              <w:left w:val="nil"/>
              <w:bottom w:val="single" w:sz="4" w:space="0" w:color="auto"/>
              <w:right w:val="nil"/>
            </w:tcBorders>
            <w:shd w:val="clear" w:color="auto" w:fill="auto"/>
            <w:vAlign w:val="center"/>
            <w:hideMark/>
          </w:tcPr>
          <w:p w14:paraId="137B2318"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lang w:eastAsia="en-GB"/>
              </w:rPr>
              <w:t>71.7%</w:t>
            </w:r>
          </w:p>
        </w:tc>
        <w:tc>
          <w:tcPr>
            <w:tcW w:w="1537" w:type="dxa"/>
            <w:tcBorders>
              <w:top w:val="nil"/>
              <w:left w:val="nil"/>
              <w:bottom w:val="single" w:sz="4" w:space="0" w:color="auto"/>
              <w:right w:val="nil"/>
            </w:tcBorders>
            <w:shd w:val="clear" w:color="auto" w:fill="auto"/>
            <w:vAlign w:val="center"/>
            <w:hideMark/>
          </w:tcPr>
          <w:p w14:paraId="75FE0B49"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lang w:eastAsia="en-GB"/>
              </w:rPr>
              <w:t>77.6%</w:t>
            </w:r>
          </w:p>
        </w:tc>
        <w:tc>
          <w:tcPr>
            <w:tcW w:w="987" w:type="dxa"/>
            <w:tcBorders>
              <w:top w:val="nil"/>
              <w:left w:val="nil"/>
              <w:bottom w:val="single" w:sz="4" w:space="0" w:color="auto"/>
              <w:right w:val="nil"/>
            </w:tcBorders>
            <w:shd w:val="clear" w:color="auto" w:fill="auto"/>
            <w:vAlign w:val="center"/>
            <w:hideMark/>
          </w:tcPr>
          <w:p w14:paraId="2E03D8DF"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lang w:eastAsia="en-GB"/>
              </w:rPr>
              <w:t>65.1%</w:t>
            </w:r>
          </w:p>
        </w:tc>
        <w:tc>
          <w:tcPr>
            <w:tcW w:w="1121" w:type="dxa"/>
            <w:tcBorders>
              <w:top w:val="nil"/>
              <w:left w:val="nil"/>
              <w:bottom w:val="single" w:sz="4" w:space="0" w:color="auto"/>
              <w:right w:val="nil"/>
            </w:tcBorders>
            <w:shd w:val="clear" w:color="auto" w:fill="auto"/>
            <w:vAlign w:val="center"/>
            <w:hideMark/>
          </w:tcPr>
          <w:p w14:paraId="64A3A579"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lang w:eastAsia="en-GB"/>
              </w:rPr>
              <w:t>60.4%</w:t>
            </w:r>
          </w:p>
        </w:tc>
        <w:tc>
          <w:tcPr>
            <w:tcW w:w="1084" w:type="dxa"/>
            <w:tcBorders>
              <w:top w:val="nil"/>
              <w:left w:val="nil"/>
              <w:bottom w:val="single" w:sz="4" w:space="0" w:color="auto"/>
              <w:right w:val="nil"/>
            </w:tcBorders>
            <w:shd w:val="clear" w:color="auto" w:fill="auto"/>
            <w:vAlign w:val="center"/>
            <w:hideMark/>
          </w:tcPr>
          <w:p w14:paraId="750FF137"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lang w:eastAsia="en-GB"/>
              </w:rPr>
              <w:t>77.7%</w:t>
            </w:r>
          </w:p>
        </w:tc>
        <w:tc>
          <w:tcPr>
            <w:tcW w:w="1134" w:type="dxa"/>
            <w:tcBorders>
              <w:top w:val="nil"/>
              <w:left w:val="nil"/>
              <w:bottom w:val="single" w:sz="4" w:space="0" w:color="auto"/>
              <w:right w:val="single" w:sz="4" w:space="0" w:color="auto"/>
            </w:tcBorders>
            <w:shd w:val="clear" w:color="auto" w:fill="auto"/>
            <w:vAlign w:val="center"/>
            <w:hideMark/>
          </w:tcPr>
          <w:p w14:paraId="7FA5B826"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lang w:eastAsia="en-GB"/>
              </w:rPr>
              <w:t>69.4%</w:t>
            </w:r>
          </w:p>
        </w:tc>
      </w:tr>
      <w:tr w:rsidR="00AB46AF" w:rsidRPr="00331588" w14:paraId="6E631A2B" w14:textId="77777777" w:rsidTr="00AB46AF">
        <w:trPr>
          <w:trHeight w:val="342"/>
        </w:trPr>
        <w:tc>
          <w:tcPr>
            <w:tcW w:w="3524" w:type="dxa"/>
            <w:tcBorders>
              <w:top w:val="nil"/>
              <w:left w:val="single" w:sz="4" w:space="0" w:color="auto"/>
              <w:bottom w:val="nil"/>
              <w:right w:val="nil"/>
            </w:tcBorders>
            <w:shd w:val="clear" w:color="auto" w:fill="auto"/>
            <w:vAlign w:val="center"/>
            <w:hideMark/>
          </w:tcPr>
          <w:p w14:paraId="0F39977F" w14:textId="77777777" w:rsidR="00331588" w:rsidRPr="00331588" w:rsidRDefault="00331588" w:rsidP="00331588">
            <w:pPr>
              <w:spacing w:after="0" w:line="240" w:lineRule="auto"/>
              <w:rPr>
                <w:rFonts w:ascii="Arial" w:eastAsia="Times New Roman" w:hAnsi="Arial" w:cs="Arial"/>
                <w:b/>
                <w:bCs/>
                <w:lang w:eastAsia="en-GB"/>
              </w:rPr>
            </w:pPr>
            <w:r w:rsidRPr="00331588">
              <w:rPr>
                <w:rFonts w:ascii="Arial" w:eastAsia="Times New Roman" w:hAnsi="Arial" w:cs="Arial"/>
                <w:b/>
                <w:bCs/>
                <w:lang w:eastAsia="en-GB"/>
              </w:rPr>
              <w:t>Included in income</w:t>
            </w:r>
          </w:p>
        </w:tc>
        <w:tc>
          <w:tcPr>
            <w:tcW w:w="1328" w:type="dxa"/>
            <w:tcBorders>
              <w:top w:val="nil"/>
              <w:left w:val="nil"/>
              <w:bottom w:val="nil"/>
              <w:right w:val="nil"/>
            </w:tcBorders>
            <w:shd w:val="clear" w:color="auto" w:fill="auto"/>
            <w:vAlign w:val="center"/>
            <w:hideMark/>
          </w:tcPr>
          <w:p w14:paraId="2F75A1C7" w14:textId="77777777" w:rsidR="00331588" w:rsidRPr="00331588" w:rsidRDefault="00331588" w:rsidP="00331588">
            <w:pPr>
              <w:spacing w:after="0" w:line="240" w:lineRule="auto"/>
              <w:rPr>
                <w:rFonts w:ascii="Arial" w:eastAsia="Times New Roman" w:hAnsi="Arial" w:cs="Arial"/>
                <w:b/>
                <w:bCs/>
                <w:lang w:eastAsia="en-GB"/>
              </w:rPr>
            </w:pPr>
          </w:p>
        </w:tc>
        <w:tc>
          <w:tcPr>
            <w:tcW w:w="1280" w:type="dxa"/>
            <w:tcBorders>
              <w:top w:val="nil"/>
              <w:left w:val="nil"/>
              <w:bottom w:val="nil"/>
              <w:right w:val="nil"/>
            </w:tcBorders>
            <w:shd w:val="clear" w:color="auto" w:fill="auto"/>
            <w:vAlign w:val="center"/>
            <w:hideMark/>
          </w:tcPr>
          <w:p w14:paraId="4ECC2370" w14:textId="77777777" w:rsidR="00331588" w:rsidRPr="00331588" w:rsidRDefault="00331588" w:rsidP="00331588">
            <w:pPr>
              <w:spacing w:after="0" w:line="240" w:lineRule="auto"/>
              <w:jc w:val="right"/>
              <w:rPr>
                <w:rFonts w:ascii="Times New Roman" w:eastAsia="Times New Roman" w:hAnsi="Times New Roman" w:cs="Times New Roman"/>
                <w:sz w:val="20"/>
                <w:szCs w:val="20"/>
                <w:lang w:eastAsia="en-GB"/>
              </w:rPr>
            </w:pPr>
          </w:p>
        </w:tc>
        <w:tc>
          <w:tcPr>
            <w:tcW w:w="1651" w:type="dxa"/>
            <w:tcBorders>
              <w:top w:val="nil"/>
              <w:left w:val="nil"/>
              <w:bottom w:val="nil"/>
              <w:right w:val="nil"/>
            </w:tcBorders>
            <w:shd w:val="clear" w:color="auto" w:fill="auto"/>
            <w:vAlign w:val="center"/>
            <w:hideMark/>
          </w:tcPr>
          <w:p w14:paraId="087858DB" w14:textId="77777777" w:rsidR="00331588" w:rsidRPr="00331588" w:rsidRDefault="00331588" w:rsidP="00331588">
            <w:pPr>
              <w:spacing w:after="0" w:line="240" w:lineRule="auto"/>
              <w:jc w:val="right"/>
              <w:rPr>
                <w:rFonts w:ascii="Times New Roman" w:eastAsia="Times New Roman" w:hAnsi="Times New Roman" w:cs="Times New Roman"/>
                <w:sz w:val="20"/>
                <w:szCs w:val="20"/>
                <w:lang w:eastAsia="en-GB"/>
              </w:rPr>
            </w:pPr>
          </w:p>
        </w:tc>
        <w:tc>
          <w:tcPr>
            <w:tcW w:w="1234" w:type="dxa"/>
            <w:tcBorders>
              <w:top w:val="nil"/>
              <w:left w:val="nil"/>
              <w:bottom w:val="nil"/>
              <w:right w:val="nil"/>
            </w:tcBorders>
            <w:shd w:val="clear" w:color="auto" w:fill="auto"/>
            <w:vAlign w:val="center"/>
            <w:hideMark/>
          </w:tcPr>
          <w:p w14:paraId="0BF582E2" w14:textId="77777777" w:rsidR="00331588" w:rsidRPr="00331588" w:rsidRDefault="00331588" w:rsidP="00331588">
            <w:pPr>
              <w:spacing w:after="0" w:line="240" w:lineRule="auto"/>
              <w:jc w:val="right"/>
              <w:rPr>
                <w:rFonts w:ascii="Times New Roman" w:eastAsia="Times New Roman" w:hAnsi="Times New Roman" w:cs="Times New Roman"/>
                <w:sz w:val="20"/>
                <w:szCs w:val="20"/>
                <w:lang w:eastAsia="en-GB"/>
              </w:rPr>
            </w:pPr>
          </w:p>
        </w:tc>
        <w:tc>
          <w:tcPr>
            <w:tcW w:w="1537" w:type="dxa"/>
            <w:tcBorders>
              <w:top w:val="nil"/>
              <w:left w:val="nil"/>
              <w:bottom w:val="nil"/>
              <w:right w:val="nil"/>
            </w:tcBorders>
            <w:shd w:val="clear" w:color="auto" w:fill="auto"/>
            <w:vAlign w:val="center"/>
            <w:hideMark/>
          </w:tcPr>
          <w:p w14:paraId="64AAC9DA" w14:textId="77777777" w:rsidR="00331588" w:rsidRPr="00331588" w:rsidRDefault="00331588" w:rsidP="00331588">
            <w:pPr>
              <w:spacing w:after="0" w:line="240" w:lineRule="auto"/>
              <w:jc w:val="right"/>
              <w:rPr>
                <w:rFonts w:ascii="Times New Roman" w:eastAsia="Times New Roman" w:hAnsi="Times New Roman" w:cs="Times New Roman"/>
                <w:sz w:val="20"/>
                <w:szCs w:val="20"/>
                <w:lang w:eastAsia="en-GB"/>
              </w:rPr>
            </w:pPr>
          </w:p>
        </w:tc>
        <w:tc>
          <w:tcPr>
            <w:tcW w:w="987" w:type="dxa"/>
            <w:tcBorders>
              <w:top w:val="nil"/>
              <w:left w:val="nil"/>
              <w:bottom w:val="nil"/>
              <w:right w:val="nil"/>
            </w:tcBorders>
            <w:shd w:val="clear" w:color="auto" w:fill="auto"/>
            <w:vAlign w:val="center"/>
            <w:hideMark/>
          </w:tcPr>
          <w:p w14:paraId="070EA16A" w14:textId="77777777" w:rsidR="00331588" w:rsidRPr="00331588" w:rsidRDefault="00331588" w:rsidP="00331588">
            <w:pPr>
              <w:spacing w:after="0" w:line="240" w:lineRule="auto"/>
              <w:jc w:val="right"/>
              <w:rPr>
                <w:rFonts w:ascii="Times New Roman" w:eastAsia="Times New Roman" w:hAnsi="Times New Roman" w:cs="Times New Roman"/>
                <w:sz w:val="20"/>
                <w:szCs w:val="20"/>
                <w:lang w:eastAsia="en-GB"/>
              </w:rPr>
            </w:pPr>
          </w:p>
        </w:tc>
        <w:tc>
          <w:tcPr>
            <w:tcW w:w="1121" w:type="dxa"/>
            <w:tcBorders>
              <w:top w:val="nil"/>
              <w:left w:val="nil"/>
              <w:bottom w:val="nil"/>
              <w:right w:val="nil"/>
            </w:tcBorders>
            <w:shd w:val="clear" w:color="auto" w:fill="auto"/>
            <w:vAlign w:val="center"/>
            <w:hideMark/>
          </w:tcPr>
          <w:p w14:paraId="57532497" w14:textId="77777777" w:rsidR="00331588" w:rsidRPr="00331588" w:rsidRDefault="00331588" w:rsidP="00331588">
            <w:pPr>
              <w:spacing w:after="0" w:line="240" w:lineRule="auto"/>
              <w:jc w:val="right"/>
              <w:rPr>
                <w:rFonts w:ascii="Times New Roman" w:eastAsia="Times New Roman" w:hAnsi="Times New Roman" w:cs="Times New Roman"/>
                <w:sz w:val="20"/>
                <w:szCs w:val="20"/>
                <w:lang w:eastAsia="en-GB"/>
              </w:rPr>
            </w:pPr>
          </w:p>
        </w:tc>
        <w:tc>
          <w:tcPr>
            <w:tcW w:w="1084" w:type="dxa"/>
            <w:tcBorders>
              <w:top w:val="nil"/>
              <w:left w:val="nil"/>
              <w:bottom w:val="nil"/>
              <w:right w:val="nil"/>
            </w:tcBorders>
            <w:shd w:val="clear" w:color="auto" w:fill="auto"/>
            <w:vAlign w:val="center"/>
            <w:hideMark/>
          </w:tcPr>
          <w:p w14:paraId="2BAFA0D4" w14:textId="77777777" w:rsidR="00331588" w:rsidRPr="00331588" w:rsidRDefault="00331588" w:rsidP="00331588">
            <w:pPr>
              <w:spacing w:after="0" w:line="240" w:lineRule="auto"/>
              <w:jc w:val="right"/>
              <w:rPr>
                <w:rFonts w:ascii="Times New Roman" w:eastAsia="Times New Roman" w:hAnsi="Times New Roman" w:cs="Times New Roman"/>
                <w:sz w:val="20"/>
                <w:szCs w:val="20"/>
                <w:lang w:eastAsia="en-GB"/>
              </w:rPr>
            </w:pPr>
          </w:p>
        </w:tc>
        <w:tc>
          <w:tcPr>
            <w:tcW w:w="1134" w:type="dxa"/>
            <w:tcBorders>
              <w:top w:val="nil"/>
              <w:left w:val="nil"/>
              <w:bottom w:val="nil"/>
              <w:right w:val="single" w:sz="4" w:space="0" w:color="auto"/>
            </w:tcBorders>
            <w:shd w:val="clear" w:color="auto" w:fill="auto"/>
            <w:vAlign w:val="center"/>
            <w:hideMark/>
          </w:tcPr>
          <w:p w14:paraId="0BB9B50B"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lang w:eastAsia="en-GB"/>
              </w:rPr>
              <w:t> </w:t>
            </w:r>
          </w:p>
        </w:tc>
      </w:tr>
      <w:tr w:rsidR="00AB46AF" w:rsidRPr="00331588" w14:paraId="27DD4B52" w14:textId="77777777" w:rsidTr="00AB46AF">
        <w:trPr>
          <w:trHeight w:val="405"/>
        </w:trPr>
        <w:tc>
          <w:tcPr>
            <w:tcW w:w="3524" w:type="dxa"/>
            <w:tcBorders>
              <w:top w:val="nil"/>
              <w:left w:val="single" w:sz="4" w:space="0" w:color="auto"/>
              <w:bottom w:val="nil"/>
              <w:right w:val="nil"/>
            </w:tcBorders>
            <w:shd w:val="clear" w:color="auto" w:fill="auto"/>
            <w:vAlign w:val="center"/>
            <w:hideMark/>
          </w:tcPr>
          <w:p w14:paraId="6AEFE625" w14:textId="77777777" w:rsidR="00331588" w:rsidRPr="00331588" w:rsidRDefault="00331588" w:rsidP="00331588">
            <w:pPr>
              <w:spacing w:after="0" w:line="240" w:lineRule="auto"/>
              <w:rPr>
                <w:rFonts w:ascii="Arial" w:eastAsia="Times New Roman" w:hAnsi="Arial" w:cs="Arial"/>
                <w:lang w:eastAsia="en-GB"/>
              </w:rPr>
            </w:pPr>
            <w:r w:rsidRPr="00331588">
              <w:rPr>
                <w:rFonts w:ascii="Arial" w:eastAsia="Times New Roman" w:hAnsi="Arial" w:cs="Arial"/>
                <w:lang w:eastAsia="en-GB"/>
              </w:rPr>
              <w:t>New endowments received</w:t>
            </w:r>
          </w:p>
        </w:tc>
        <w:tc>
          <w:tcPr>
            <w:tcW w:w="1328" w:type="dxa"/>
            <w:tcBorders>
              <w:top w:val="nil"/>
              <w:left w:val="nil"/>
              <w:bottom w:val="nil"/>
              <w:right w:val="nil"/>
            </w:tcBorders>
            <w:shd w:val="clear" w:color="auto" w:fill="auto"/>
            <w:vAlign w:val="center"/>
            <w:hideMark/>
          </w:tcPr>
          <w:p w14:paraId="105D0378"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lang w:eastAsia="en-GB"/>
              </w:rPr>
              <w:t>3</w:t>
            </w:r>
          </w:p>
        </w:tc>
        <w:tc>
          <w:tcPr>
            <w:tcW w:w="1280" w:type="dxa"/>
            <w:tcBorders>
              <w:top w:val="nil"/>
              <w:left w:val="nil"/>
              <w:bottom w:val="nil"/>
              <w:right w:val="nil"/>
            </w:tcBorders>
            <w:shd w:val="clear" w:color="auto" w:fill="auto"/>
            <w:vAlign w:val="center"/>
            <w:hideMark/>
          </w:tcPr>
          <w:p w14:paraId="5B5AC6F8"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lang w:eastAsia="en-GB"/>
              </w:rPr>
              <w:t>63</w:t>
            </w:r>
          </w:p>
        </w:tc>
        <w:tc>
          <w:tcPr>
            <w:tcW w:w="1651" w:type="dxa"/>
            <w:tcBorders>
              <w:top w:val="nil"/>
              <w:left w:val="nil"/>
              <w:bottom w:val="nil"/>
              <w:right w:val="nil"/>
            </w:tcBorders>
            <w:shd w:val="clear" w:color="auto" w:fill="auto"/>
            <w:vAlign w:val="center"/>
            <w:hideMark/>
          </w:tcPr>
          <w:p w14:paraId="448FF0A9"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lang w:eastAsia="en-GB"/>
              </w:rPr>
              <w:t>4</w:t>
            </w:r>
          </w:p>
        </w:tc>
        <w:tc>
          <w:tcPr>
            <w:tcW w:w="1234" w:type="dxa"/>
            <w:tcBorders>
              <w:top w:val="nil"/>
              <w:left w:val="nil"/>
              <w:bottom w:val="nil"/>
              <w:right w:val="nil"/>
            </w:tcBorders>
            <w:shd w:val="clear" w:color="auto" w:fill="auto"/>
            <w:vAlign w:val="center"/>
            <w:hideMark/>
          </w:tcPr>
          <w:p w14:paraId="611051B1"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lang w:eastAsia="en-GB"/>
              </w:rPr>
              <w:t>0</w:t>
            </w:r>
          </w:p>
        </w:tc>
        <w:tc>
          <w:tcPr>
            <w:tcW w:w="1537" w:type="dxa"/>
            <w:tcBorders>
              <w:top w:val="nil"/>
              <w:left w:val="nil"/>
              <w:bottom w:val="nil"/>
              <w:right w:val="nil"/>
            </w:tcBorders>
            <w:shd w:val="clear" w:color="auto" w:fill="auto"/>
            <w:vAlign w:val="center"/>
            <w:hideMark/>
          </w:tcPr>
          <w:p w14:paraId="4A1AEC62"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lang w:eastAsia="en-GB"/>
              </w:rPr>
              <w:t>0</w:t>
            </w:r>
          </w:p>
        </w:tc>
        <w:tc>
          <w:tcPr>
            <w:tcW w:w="987" w:type="dxa"/>
            <w:tcBorders>
              <w:top w:val="nil"/>
              <w:left w:val="nil"/>
              <w:bottom w:val="nil"/>
              <w:right w:val="nil"/>
            </w:tcBorders>
            <w:shd w:val="clear" w:color="auto" w:fill="auto"/>
            <w:vAlign w:val="center"/>
            <w:hideMark/>
          </w:tcPr>
          <w:p w14:paraId="05EB59D3"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lang w:eastAsia="en-GB"/>
              </w:rPr>
              <w:t>0</w:t>
            </w:r>
          </w:p>
        </w:tc>
        <w:tc>
          <w:tcPr>
            <w:tcW w:w="1121" w:type="dxa"/>
            <w:tcBorders>
              <w:top w:val="nil"/>
              <w:left w:val="nil"/>
              <w:bottom w:val="nil"/>
              <w:right w:val="nil"/>
            </w:tcBorders>
            <w:shd w:val="clear" w:color="auto" w:fill="auto"/>
            <w:vAlign w:val="center"/>
            <w:hideMark/>
          </w:tcPr>
          <w:p w14:paraId="30E1AE8C"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lang w:eastAsia="en-GB"/>
              </w:rPr>
              <w:t>1</w:t>
            </w:r>
          </w:p>
        </w:tc>
        <w:tc>
          <w:tcPr>
            <w:tcW w:w="1084" w:type="dxa"/>
            <w:tcBorders>
              <w:top w:val="nil"/>
              <w:left w:val="nil"/>
              <w:bottom w:val="nil"/>
              <w:right w:val="nil"/>
            </w:tcBorders>
            <w:shd w:val="clear" w:color="auto" w:fill="auto"/>
            <w:vAlign w:val="center"/>
            <w:hideMark/>
          </w:tcPr>
          <w:p w14:paraId="5CF201DB"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lang w:eastAsia="en-GB"/>
              </w:rPr>
              <w:t>5</w:t>
            </w:r>
          </w:p>
        </w:tc>
        <w:tc>
          <w:tcPr>
            <w:tcW w:w="1134" w:type="dxa"/>
            <w:tcBorders>
              <w:top w:val="nil"/>
              <w:left w:val="nil"/>
              <w:bottom w:val="nil"/>
              <w:right w:val="single" w:sz="4" w:space="0" w:color="auto"/>
            </w:tcBorders>
            <w:shd w:val="clear" w:color="auto" w:fill="auto"/>
            <w:vAlign w:val="center"/>
            <w:hideMark/>
          </w:tcPr>
          <w:p w14:paraId="4B3E15F6"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lang w:eastAsia="en-GB"/>
              </w:rPr>
              <w:t>75</w:t>
            </w:r>
          </w:p>
        </w:tc>
      </w:tr>
      <w:tr w:rsidR="00AB46AF" w:rsidRPr="00331588" w14:paraId="537CBD04" w14:textId="77777777" w:rsidTr="00AB46AF">
        <w:trPr>
          <w:trHeight w:val="405"/>
        </w:trPr>
        <w:tc>
          <w:tcPr>
            <w:tcW w:w="3524" w:type="dxa"/>
            <w:tcBorders>
              <w:top w:val="nil"/>
              <w:left w:val="single" w:sz="4" w:space="0" w:color="auto"/>
              <w:bottom w:val="nil"/>
              <w:right w:val="nil"/>
            </w:tcBorders>
            <w:shd w:val="clear" w:color="auto" w:fill="auto"/>
            <w:vAlign w:val="center"/>
            <w:hideMark/>
          </w:tcPr>
          <w:p w14:paraId="6F9F512B" w14:textId="77777777" w:rsidR="00331588" w:rsidRPr="00331588" w:rsidRDefault="00331588" w:rsidP="00331588">
            <w:pPr>
              <w:spacing w:after="0" w:line="240" w:lineRule="auto"/>
              <w:rPr>
                <w:rFonts w:ascii="Arial" w:eastAsia="Times New Roman" w:hAnsi="Arial" w:cs="Arial"/>
                <w:lang w:eastAsia="en-GB"/>
              </w:rPr>
            </w:pPr>
            <w:r w:rsidRPr="00331588">
              <w:rPr>
                <w:rFonts w:ascii="Arial" w:eastAsia="Times New Roman" w:hAnsi="Arial" w:cs="Arial"/>
                <w:lang w:eastAsia="en-GB"/>
              </w:rPr>
              <w:t>New donations</w:t>
            </w:r>
          </w:p>
        </w:tc>
        <w:tc>
          <w:tcPr>
            <w:tcW w:w="1328" w:type="dxa"/>
            <w:tcBorders>
              <w:top w:val="nil"/>
              <w:left w:val="nil"/>
              <w:bottom w:val="nil"/>
              <w:right w:val="nil"/>
            </w:tcBorders>
            <w:shd w:val="clear" w:color="auto" w:fill="auto"/>
            <w:vAlign w:val="center"/>
            <w:hideMark/>
          </w:tcPr>
          <w:p w14:paraId="4DF9CA4B"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lang w:eastAsia="en-GB"/>
              </w:rPr>
              <w:t>0</w:t>
            </w:r>
          </w:p>
        </w:tc>
        <w:tc>
          <w:tcPr>
            <w:tcW w:w="1280" w:type="dxa"/>
            <w:tcBorders>
              <w:top w:val="nil"/>
              <w:left w:val="nil"/>
              <w:bottom w:val="nil"/>
              <w:right w:val="nil"/>
            </w:tcBorders>
            <w:shd w:val="clear" w:color="auto" w:fill="auto"/>
            <w:vAlign w:val="center"/>
            <w:hideMark/>
          </w:tcPr>
          <w:p w14:paraId="02D279D7"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lang w:eastAsia="en-GB"/>
              </w:rPr>
              <w:t>45</w:t>
            </w:r>
          </w:p>
        </w:tc>
        <w:tc>
          <w:tcPr>
            <w:tcW w:w="1651" w:type="dxa"/>
            <w:tcBorders>
              <w:top w:val="nil"/>
              <w:left w:val="nil"/>
              <w:bottom w:val="nil"/>
              <w:right w:val="nil"/>
            </w:tcBorders>
            <w:shd w:val="clear" w:color="auto" w:fill="auto"/>
            <w:vAlign w:val="center"/>
            <w:hideMark/>
          </w:tcPr>
          <w:p w14:paraId="5F98D15F"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lang w:eastAsia="en-GB"/>
              </w:rPr>
              <w:t>55</w:t>
            </w:r>
          </w:p>
        </w:tc>
        <w:tc>
          <w:tcPr>
            <w:tcW w:w="1234" w:type="dxa"/>
            <w:tcBorders>
              <w:top w:val="nil"/>
              <w:left w:val="nil"/>
              <w:bottom w:val="nil"/>
              <w:right w:val="nil"/>
            </w:tcBorders>
            <w:shd w:val="clear" w:color="auto" w:fill="auto"/>
            <w:vAlign w:val="center"/>
            <w:hideMark/>
          </w:tcPr>
          <w:p w14:paraId="04A5000F"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lang w:eastAsia="en-GB"/>
              </w:rPr>
              <w:t>2</w:t>
            </w:r>
          </w:p>
        </w:tc>
        <w:tc>
          <w:tcPr>
            <w:tcW w:w="1537" w:type="dxa"/>
            <w:tcBorders>
              <w:top w:val="nil"/>
              <w:left w:val="nil"/>
              <w:bottom w:val="nil"/>
              <w:right w:val="nil"/>
            </w:tcBorders>
            <w:shd w:val="clear" w:color="auto" w:fill="auto"/>
            <w:vAlign w:val="center"/>
            <w:hideMark/>
          </w:tcPr>
          <w:p w14:paraId="4900020F"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lang w:eastAsia="en-GB"/>
              </w:rPr>
              <w:t>1</w:t>
            </w:r>
          </w:p>
        </w:tc>
        <w:tc>
          <w:tcPr>
            <w:tcW w:w="987" w:type="dxa"/>
            <w:tcBorders>
              <w:top w:val="nil"/>
              <w:left w:val="nil"/>
              <w:bottom w:val="nil"/>
              <w:right w:val="nil"/>
            </w:tcBorders>
            <w:shd w:val="clear" w:color="auto" w:fill="auto"/>
            <w:vAlign w:val="center"/>
            <w:hideMark/>
          </w:tcPr>
          <w:p w14:paraId="205BE5A6"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lang w:eastAsia="en-GB"/>
              </w:rPr>
              <w:t>0</w:t>
            </w:r>
          </w:p>
        </w:tc>
        <w:tc>
          <w:tcPr>
            <w:tcW w:w="1121" w:type="dxa"/>
            <w:tcBorders>
              <w:top w:val="nil"/>
              <w:left w:val="nil"/>
              <w:bottom w:val="nil"/>
              <w:right w:val="nil"/>
            </w:tcBorders>
            <w:shd w:val="clear" w:color="auto" w:fill="auto"/>
            <w:vAlign w:val="center"/>
            <w:hideMark/>
          </w:tcPr>
          <w:p w14:paraId="0085CFE0"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lang w:eastAsia="en-GB"/>
              </w:rPr>
              <w:t>4</w:t>
            </w:r>
          </w:p>
        </w:tc>
        <w:tc>
          <w:tcPr>
            <w:tcW w:w="1084" w:type="dxa"/>
            <w:tcBorders>
              <w:top w:val="nil"/>
              <w:left w:val="nil"/>
              <w:bottom w:val="nil"/>
              <w:right w:val="nil"/>
            </w:tcBorders>
            <w:shd w:val="clear" w:color="auto" w:fill="auto"/>
            <w:vAlign w:val="center"/>
            <w:hideMark/>
          </w:tcPr>
          <w:p w14:paraId="28846B31"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lang w:eastAsia="en-GB"/>
              </w:rPr>
              <w:t>61</w:t>
            </w:r>
          </w:p>
        </w:tc>
        <w:tc>
          <w:tcPr>
            <w:tcW w:w="1134" w:type="dxa"/>
            <w:tcBorders>
              <w:top w:val="nil"/>
              <w:left w:val="nil"/>
              <w:bottom w:val="nil"/>
              <w:right w:val="single" w:sz="4" w:space="0" w:color="auto"/>
            </w:tcBorders>
            <w:shd w:val="clear" w:color="auto" w:fill="auto"/>
            <w:vAlign w:val="center"/>
            <w:hideMark/>
          </w:tcPr>
          <w:p w14:paraId="7B10EDB9"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lang w:eastAsia="en-GB"/>
              </w:rPr>
              <w:t>166</w:t>
            </w:r>
          </w:p>
        </w:tc>
      </w:tr>
      <w:tr w:rsidR="00AB46AF" w:rsidRPr="00331588" w14:paraId="1D385F8C" w14:textId="77777777" w:rsidTr="00AB46AF">
        <w:trPr>
          <w:trHeight w:val="405"/>
        </w:trPr>
        <w:tc>
          <w:tcPr>
            <w:tcW w:w="3524" w:type="dxa"/>
            <w:tcBorders>
              <w:top w:val="nil"/>
              <w:left w:val="single" w:sz="4" w:space="0" w:color="auto"/>
              <w:bottom w:val="nil"/>
              <w:right w:val="nil"/>
            </w:tcBorders>
            <w:shd w:val="clear" w:color="auto" w:fill="auto"/>
            <w:vAlign w:val="center"/>
            <w:hideMark/>
          </w:tcPr>
          <w:p w14:paraId="736C2CC6" w14:textId="77777777" w:rsidR="00331588" w:rsidRPr="00331588" w:rsidRDefault="00331588" w:rsidP="00331588">
            <w:pPr>
              <w:spacing w:after="0" w:line="240" w:lineRule="auto"/>
              <w:rPr>
                <w:rFonts w:ascii="Arial" w:eastAsia="Times New Roman" w:hAnsi="Arial" w:cs="Arial"/>
                <w:lang w:eastAsia="en-GB"/>
              </w:rPr>
            </w:pPr>
            <w:r w:rsidRPr="00331588">
              <w:rPr>
                <w:rFonts w:ascii="Arial" w:eastAsia="Times New Roman" w:hAnsi="Arial" w:cs="Arial"/>
                <w:lang w:eastAsia="en-GB"/>
              </w:rPr>
              <w:t>New government capital grants</w:t>
            </w:r>
          </w:p>
        </w:tc>
        <w:tc>
          <w:tcPr>
            <w:tcW w:w="1328" w:type="dxa"/>
            <w:tcBorders>
              <w:top w:val="nil"/>
              <w:left w:val="nil"/>
              <w:bottom w:val="nil"/>
              <w:right w:val="nil"/>
            </w:tcBorders>
            <w:shd w:val="clear" w:color="auto" w:fill="auto"/>
            <w:vAlign w:val="center"/>
            <w:hideMark/>
          </w:tcPr>
          <w:p w14:paraId="17FE9E78"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lang w:eastAsia="en-GB"/>
              </w:rPr>
              <w:t>5</w:t>
            </w:r>
          </w:p>
        </w:tc>
        <w:tc>
          <w:tcPr>
            <w:tcW w:w="1280" w:type="dxa"/>
            <w:tcBorders>
              <w:top w:val="nil"/>
              <w:left w:val="nil"/>
              <w:bottom w:val="nil"/>
              <w:right w:val="nil"/>
            </w:tcBorders>
            <w:shd w:val="clear" w:color="auto" w:fill="auto"/>
            <w:vAlign w:val="center"/>
            <w:hideMark/>
          </w:tcPr>
          <w:p w14:paraId="1E1222DC"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lang w:eastAsia="en-GB"/>
              </w:rPr>
              <w:t>93</w:t>
            </w:r>
          </w:p>
        </w:tc>
        <w:tc>
          <w:tcPr>
            <w:tcW w:w="1651" w:type="dxa"/>
            <w:tcBorders>
              <w:top w:val="nil"/>
              <w:left w:val="nil"/>
              <w:bottom w:val="nil"/>
              <w:right w:val="nil"/>
            </w:tcBorders>
            <w:shd w:val="clear" w:color="auto" w:fill="auto"/>
            <w:vAlign w:val="center"/>
            <w:hideMark/>
          </w:tcPr>
          <w:p w14:paraId="38D00D6A"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lang w:eastAsia="en-GB"/>
              </w:rPr>
              <w:t>64</w:t>
            </w:r>
          </w:p>
        </w:tc>
        <w:tc>
          <w:tcPr>
            <w:tcW w:w="1234" w:type="dxa"/>
            <w:tcBorders>
              <w:top w:val="nil"/>
              <w:left w:val="nil"/>
              <w:bottom w:val="nil"/>
              <w:right w:val="nil"/>
            </w:tcBorders>
            <w:shd w:val="clear" w:color="auto" w:fill="auto"/>
            <w:vAlign w:val="center"/>
            <w:hideMark/>
          </w:tcPr>
          <w:p w14:paraId="209F7DE4"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lang w:eastAsia="en-GB"/>
              </w:rPr>
              <w:t>50</w:t>
            </w:r>
          </w:p>
        </w:tc>
        <w:tc>
          <w:tcPr>
            <w:tcW w:w="1537" w:type="dxa"/>
            <w:tcBorders>
              <w:top w:val="nil"/>
              <w:left w:val="nil"/>
              <w:bottom w:val="nil"/>
              <w:right w:val="nil"/>
            </w:tcBorders>
            <w:shd w:val="clear" w:color="auto" w:fill="auto"/>
            <w:vAlign w:val="center"/>
            <w:hideMark/>
          </w:tcPr>
          <w:p w14:paraId="21AD5A43"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lang w:eastAsia="en-GB"/>
              </w:rPr>
              <w:t>22</w:t>
            </w:r>
          </w:p>
        </w:tc>
        <w:tc>
          <w:tcPr>
            <w:tcW w:w="987" w:type="dxa"/>
            <w:tcBorders>
              <w:top w:val="nil"/>
              <w:left w:val="nil"/>
              <w:bottom w:val="nil"/>
              <w:right w:val="nil"/>
            </w:tcBorders>
            <w:shd w:val="clear" w:color="auto" w:fill="auto"/>
            <w:vAlign w:val="center"/>
            <w:hideMark/>
          </w:tcPr>
          <w:p w14:paraId="126C8C4B"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lang w:eastAsia="en-GB"/>
              </w:rPr>
              <w:t>13</w:t>
            </w:r>
          </w:p>
        </w:tc>
        <w:tc>
          <w:tcPr>
            <w:tcW w:w="1121" w:type="dxa"/>
            <w:tcBorders>
              <w:top w:val="nil"/>
              <w:left w:val="nil"/>
              <w:bottom w:val="nil"/>
              <w:right w:val="nil"/>
            </w:tcBorders>
            <w:shd w:val="clear" w:color="auto" w:fill="auto"/>
            <w:vAlign w:val="center"/>
            <w:hideMark/>
          </w:tcPr>
          <w:p w14:paraId="694EC574"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lang w:eastAsia="en-GB"/>
              </w:rPr>
              <w:t>9</w:t>
            </w:r>
          </w:p>
        </w:tc>
        <w:tc>
          <w:tcPr>
            <w:tcW w:w="1084" w:type="dxa"/>
            <w:tcBorders>
              <w:top w:val="nil"/>
              <w:left w:val="nil"/>
              <w:bottom w:val="nil"/>
              <w:right w:val="nil"/>
            </w:tcBorders>
            <w:shd w:val="clear" w:color="auto" w:fill="auto"/>
            <w:vAlign w:val="center"/>
            <w:hideMark/>
          </w:tcPr>
          <w:p w14:paraId="0DF9D36D"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lang w:eastAsia="en-GB"/>
              </w:rPr>
              <w:t>6</w:t>
            </w:r>
          </w:p>
        </w:tc>
        <w:tc>
          <w:tcPr>
            <w:tcW w:w="1134" w:type="dxa"/>
            <w:tcBorders>
              <w:top w:val="nil"/>
              <w:left w:val="nil"/>
              <w:bottom w:val="nil"/>
              <w:right w:val="single" w:sz="4" w:space="0" w:color="auto"/>
            </w:tcBorders>
            <w:shd w:val="clear" w:color="auto" w:fill="auto"/>
            <w:vAlign w:val="center"/>
            <w:hideMark/>
          </w:tcPr>
          <w:p w14:paraId="4430BFBC"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lang w:eastAsia="en-GB"/>
              </w:rPr>
              <w:t>262</w:t>
            </w:r>
          </w:p>
        </w:tc>
      </w:tr>
      <w:tr w:rsidR="00AB46AF" w:rsidRPr="00331588" w14:paraId="060BB42D" w14:textId="77777777" w:rsidTr="00AB46AF">
        <w:trPr>
          <w:trHeight w:val="450"/>
        </w:trPr>
        <w:tc>
          <w:tcPr>
            <w:tcW w:w="3524" w:type="dxa"/>
            <w:tcBorders>
              <w:top w:val="nil"/>
              <w:left w:val="single" w:sz="4" w:space="0" w:color="auto"/>
              <w:bottom w:val="nil"/>
              <w:right w:val="nil"/>
            </w:tcBorders>
            <w:shd w:val="clear" w:color="auto" w:fill="auto"/>
            <w:vAlign w:val="center"/>
            <w:hideMark/>
          </w:tcPr>
          <w:p w14:paraId="16B645F1" w14:textId="77777777" w:rsidR="00331588" w:rsidRPr="00331588" w:rsidRDefault="00331588" w:rsidP="00331588">
            <w:pPr>
              <w:spacing w:after="0" w:line="240" w:lineRule="auto"/>
              <w:rPr>
                <w:rFonts w:ascii="Arial" w:eastAsia="Times New Roman" w:hAnsi="Arial" w:cs="Arial"/>
                <w:lang w:eastAsia="en-GB"/>
              </w:rPr>
            </w:pPr>
            <w:r w:rsidRPr="00331588">
              <w:rPr>
                <w:rFonts w:ascii="Arial" w:eastAsia="Times New Roman" w:hAnsi="Arial" w:cs="Arial"/>
                <w:lang w:eastAsia="en-GB"/>
              </w:rPr>
              <w:t>New non-government capital grants</w:t>
            </w:r>
          </w:p>
        </w:tc>
        <w:tc>
          <w:tcPr>
            <w:tcW w:w="1328" w:type="dxa"/>
            <w:tcBorders>
              <w:top w:val="nil"/>
              <w:left w:val="nil"/>
              <w:bottom w:val="nil"/>
              <w:right w:val="nil"/>
            </w:tcBorders>
            <w:shd w:val="clear" w:color="auto" w:fill="auto"/>
            <w:vAlign w:val="center"/>
            <w:hideMark/>
          </w:tcPr>
          <w:p w14:paraId="69A5FE59"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lang w:eastAsia="en-GB"/>
              </w:rPr>
              <w:t>0</w:t>
            </w:r>
          </w:p>
        </w:tc>
        <w:tc>
          <w:tcPr>
            <w:tcW w:w="1280" w:type="dxa"/>
            <w:tcBorders>
              <w:top w:val="nil"/>
              <w:left w:val="nil"/>
              <w:bottom w:val="nil"/>
              <w:right w:val="nil"/>
            </w:tcBorders>
            <w:shd w:val="clear" w:color="auto" w:fill="auto"/>
            <w:vAlign w:val="center"/>
            <w:hideMark/>
          </w:tcPr>
          <w:p w14:paraId="201B8755"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lang w:eastAsia="en-GB"/>
              </w:rPr>
              <w:t>1</w:t>
            </w:r>
          </w:p>
        </w:tc>
        <w:tc>
          <w:tcPr>
            <w:tcW w:w="1651" w:type="dxa"/>
            <w:tcBorders>
              <w:top w:val="nil"/>
              <w:left w:val="nil"/>
              <w:bottom w:val="nil"/>
              <w:right w:val="nil"/>
            </w:tcBorders>
            <w:shd w:val="clear" w:color="auto" w:fill="auto"/>
            <w:vAlign w:val="center"/>
            <w:hideMark/>
          </w:tcPr>
          <w:p w14:paraId="5B238A0A"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lang w:eastAsia="en-GB"/>
              </w:rPr>
              <w:t>2</w:t>
            </w:r>
          </w:p>
        </w:tc>
        <w:tc>
          <w:tcPr>
            <w:tcW w:w="1234" w:type="dxa"/>
            <w:tcBorders>
              <w:top w:val="nil"/>
              <w:left w:val="nil"/>
              <w:bottom w:val="nil"/>
              <w:right w:val="nil"/>
            </w:tcBorders>
            <w:shd w:val="clear" w:color="auto" w:fill="auto"/>
            <w:vAlign w:val="center"/>
            <w:hideMark/>
          </w:tcPr>
          <w:p w14:paraId="7D738A61"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lang w:eastAsia="en-GB"/>
              </w:rPr>
              <w:t>9</w:t>
            </w:r>
          </w:p>
        </w:tc>
        <w:tc>
          <w:tcPr>
            <w:tcW w:w="1537" w:type="dxa"/>
            <w:tcBorders>
              <w:top w:val="nil"/>
              <w:left w:val="nil"/>
              <w:bottom w:val="nil"/>
              <w:right w:val="nil"/>
            </w:tcBorders>
            <w:shd w:val="clear" w:color="auto" w:fill="auto"/>
            <w:vAlign w:val="center"/>
            <w:hideMark/>
          </w:tcPr>
          <w:p w14:paraId="5490A8E4"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lang w:eastAsia="en-GB"/>
              </w:rPr>
              <w:t>2</w:t>
            </w:r>
          </w:p>
        </w:tc>
        <w:tc>
          <w:tcPr>
            <w:tcW w:w="987" w:type="dxa"/>
            <w:tcBorders>
              <w:top w:val="nil"/>
              <w:left w:val="nil"/>
              <w:bottom w:val="nil"/>
              <w:right w:val="nil"/>
            </w:tcBorders>
            <w:shd w:val="clear" w:color="auto" w:fill="auto"/>
            <w:vAlign w:val="center"/>
            <w:hideMark/>
          </w:tcPr>
          <w:p w14:paraId="4CAC2432"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lang w:eastAsia="en-GB"/>
              </w:rPr>
              <w:t>3</w:t>
            </w:r>
          </w:p>
        </w:tc>
        <w:tc>
          <w:tcPr>
            <w:tcW w:w="1121" w:type="dxa"/>
            <w:tcBorders>
              <w:top w:val="nil"/>
              <w:left w:val="nil"/>
              <w:bottom w:val="nil"/>
              <w:right w:val="nil"/>
            </w:tcBorders>
            <w:shd w:val="clear" w:color="auto" w:fill="auto"/>
            <w:vAlign w:val="center"/>
            <w:hideMark/>
          </w:tcPr>
          <w:p w14:paraId="02F56530"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lang w:eastAsia="en-GB"/>
              </w:rPr>
              <w:t>16</w:t>
            </w:r>
          </w:p>
        </w:tc>
        <w:tc>
          <w:tcPr>
            <w:tcW w:w="1084" w:type="dxa"/>
            <w:tcBorders>
              <w:top w:val="nil"/>
              <w:left w:val="nil"/>
              <w:bottom w:val="nil"/>
              <w:right w:val="nil"/>
            </w:tcBorders>
            <w:shd w:val="clear" w:color="auto" w:fill="auto"/>
            <w:vAlign w:val="center"/>
            <w:hideMark/>
          </w:tcPr>
          <w:p w14:paraId="1B379FCE"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lang w:eastAsia="en-GB"/>
              </w:rPr>
              <w:t>5</w:t>
            </w:r>
          </w:p>
        </w:tc>
        <w:tc>
          <w:tcPr>
            <w:tcW w:w="1134" w:type="dxa"/>
            <w:tcBorders>
              <w:top w:val="nil"/>
              <w:left w:val="nil"/>
              <w:bottom w:val="nil"/>
              <w:right w:val="single" w:sz="4" w:space="0" w:color="auto"/>
            </w:tcBorders>
            <w:shd w:val="clear" w:color="auto" w:fill="auto"/>
            <w:vAlign w:val="center"/>
            <w:hideMark/>
          </w:tcPr>
          <w:p w14:paraId="3FFA729C"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lang w:eastAsia="en-GB"/>
              </w:rPr>
              <w:t>38</w:t>
            </w:r>
          </w:p>
        </w:tc>
      </w:tr>
      <w:tr w:rsidR="00AB46AF" w:rsidRPr="00331588" w14:paraId="728F3E53" w14:textId="77777777" w:rsidTr="00AB46AF">
        <w:trPr>
          <w:trHeight w:val="405"/>
        </w:trPr>
        <w:tc>
          <w:tcPr>
            <w:tcW w:w="3524" w:type="dxa"/>
            <w:tcBorders>
              <w:top w:val="nil"/>
              <w:left w:val="single" w:sz="4" w:space="0" w:color="auto"/>
              <w:bottom w:val="single" w:sz="4" w:space="0" w:color="auto"/>
              <w:right w:val="nil"/>
            </w:tcBorders>
            <w:shd w:val="clear" w:color="auto" w:fill="auto"/>
            <w:vAlign w:val="center"/>
            <w:hideMark/>
          </w:tcPr>
          <w:p w14:paraId="0A0BCC3C" w14:textId="77777777" w:rsidR="00331588" w:rsidRPr="00331588" w:rsidRDefault="00331588" w:rsidP="00331588">
            <w:pPr>
              <w:spacing w:after="0" w:line="240" w:lineRule="auto"/>
              <w:rPr>
                <w:rFonts w:ascii="Arial" w:eastAsia="Times New Roman" w:hAnsi="Arial" w:cs="Arial"/>
                <w:lang w:eastAsia="en-GB"/>
              </w:rPr>
            </w:pPr>
            <w:r w:rsidRPr="00331588">
              <w:rPr>
                <w:rFonts w:ascii="Arial" w:eastAsia="Times New Roman" w:hAnsi="Arial" w:cs="Arial"/>
                <w:lang w:eastAsia="en-GB"/>
              </w:rPr>
              <w:t>Other material items</w:t>
            </w:r>
          </w:p>
        </w:tc>
        <w:tc>
          <w:tcPr>
            <w:tcW w:w="1328" w:type="dxa"/>
            <w:tcBorders>
              <w:top w:val="nil"/>
              <w:left w:val="nil"/>
              <w:bottom w:val="single" w:sz="4" w:space="0" w:color="auto"/>
              <w:right w:val="nil"/>
            </w:tcBorders>
            <w:shd w:val="clear" w:color="auto" w:fill="auto"/>
            <w:vAlign w:val="center"/>
            <w:hideMark/>
          </w:tcPr>
          <w:p w14:paraId="01A6E1E2"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lang w:eastAsia="en-GB"/>
              </w:rPr>
              <w:t>0</w:t>
            </w:r>
          </w:p>
        </w:tc>
        <w:tc>
          <w:tcPr>
            <w:tcW w:w="1280" w:type="dxa"/>
            <w:tcBorders>
              <w:top w:val="nil"/>
              <w:left w:val="nil"/>
              <w:bottom w:val="single" w:sz="4" w:space="0" w:color="auto"/>
              <w:right w:val="nil"/>
            </w:tcBorders>
            <w:shd w:val="clear" w:color="auto" w:fill="auto"/>
            <w:vAlign w:val="center"/>
            <w:hideMark/>
          </w:tcPr>
          <w:p w14:paraId="7A344489"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lang w:eastAsia="en-GB"/>
              </w:rPr>
              <w:t>25</w:t>
            </w:r>
          </w:p>
        </w:tc>
        <w:tc>
          <w:tcPr>
            <w:tcW w:w="1651" w:type="dxa"/>
            <w:tcBorders>
              <w:top w:val="nil"/>
              <w:left w:val="nil"/>
              <w:bottom w:val="single" w:sz="4" w:space="0" w:color="auto"/>
              <w:right w:val="nil"/>
            </w:tcBorders>
            <w:shd w:val="clear" w:color="auto" w:fill="auto"/>
            <w:vAlign w:val="center"/>
            <w:hideMark/>
          </w:tcPr>
          <w:p w14:paraId="423626C5"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lang w:eastAsia="en-GB"/>
              </w:rPr>
              <w:t>0</w:t>
            </w:r>
          </w:p>
        </w:tc>
        <w:tc>
          <w:tcPr>
            <w:tcW w:w="1234" w:type="dxa"/>
            <w:tcBorders>
              <w:top w:val="nil"/>
              <w:left w:val="nil"/>
              <w:bottom w:val="single" w:sz="4" w:space="0" w:color="auto"/>
              <w:right w:val="nil"/>
            </w:tcBorders>
            <w:shd w:val="clear" w:color="auto" w:fill="auto"/>
            <w:vAlign w:val="center"/>
            <w:hideMark/>
          </w:tcPr>
          <w:p w14:paraId="327A2145"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lang w:eastAsia="en-GB"/>
              </w:rPr>
              <w:t>0</w:t>
            </w:r>
          </w:p>
        </w:tc>
        <w:tc>
          <w:tcPr>
            <w:tcW w:w="1537" w:type="dxa"/>
            <w:tcBorders>
              <w:top w:val="nil"/>
              <w:left w:val="nil"/>
              <w:bottom w:val="single" w:sz="4" w:space="0" w:color="auto"/>
              <w:right w:val="nil"/>
            </w:tcBorders>
            <w:shd w:val="clear" w:color="auto" w:fill="auto"/>
            <w:vAlign w:val="center"/>
            <w:hideMark/>
          </w:tcPr>
          <w:p w14:paraId="125B1568"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lang w:eastAsia="en-GB"/>
              </w:rPr>
              <w:t>0</w:t>
            </w:r>
          </w:p>
        </w:tc>
        <w:tc>
          <w:tcPr>
            <w:tcW w:w="987" w:type="dxa"/>
            <w:tcBorders>
              <w:top w:val="nil"/>
              <w:left w:val="nil"/>
              <w:bottom w:val="single" w:sz="4" w:space="0" w:color="auto"/>
              <w:right w:val="nil"/>
            </w:tcBorders>
            <w:shd w:val="clear" w:color="auto" w:fill="auto"/>
            <w:vAlign w:val="center"/>
            <w:hideMark/>
          </w:tcPr>
          <w:p w14:paraId="4B50F93E"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lang w:eastAsia="en-GB"/>
              </w:rPr>
              <w:t>0</w:t>
            </w:r>
          </w:p>
        </w:tc>
        <w:tc>
          <w:tcPr>
            <w:tcW w:w="1121" w:type="dxa"/>
            <w:tcBorders>
              <w:top w:val="nil"/>
              <w:left w:val="nil"/>
              <w:bottom w:val="single" w:sz="4" w:space="0" w:color="auto"/>
              <w:right w:val="nil"/>
            </w:tcBorders>
            <w:shd w:val="clear" w:color="auto" w:fill="auto"/>
            <w:vAlign w:val="center"/>
            <w:hideMark/>
          </w:tcPr>
          <w:p w14:paraId="7C769DC8"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lang w:eastAsia="en-GB"/>
              </w:rPr>
              <w:t>0</w:t>
            </w:r>
          </w:p>
        </w:tc>
        <w:tc>
          <w:tcPr>
            <w:tcW w:w="1084" w:type="dxa"/>
            <w:tcBorders>
              <w:top w:val="nil"/>
              <w:left w:val="nil"/>
              <w:bottom w:val="single" w:sz="4" w:space="0" w:color="auto"/>
              <w:right w:val="nil"/>
            </w:tcBorders>
            <w:shd w:val="clear" w:color="auto" w:fill="auto"/>
            <w:vAlign w:val="center"/>
            <w:hideMark/>
          </w:tcPr>
          <w:p w14:paraId="6D8FEED3"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lang w:eastAsia="en-GB"/>
              </w:rPr>
              <w:t>0</w:t>
            </w:r>
          </w:p>
        </w:tc>
        <w:tc>
          <w:tcPr>
            <w:tcW w:w="1134" w:type="dxa"/>
            <w:tcBorders>
              <w:top w:val="nil"/>
              <w:left w:val="nil"/>
              <w:bottom w:val="single" w:sz="4" w:space="0" w:color="auto"/>
              <w:right w:val="single" w:sz="4" w:space="0" w:color="auto"/>
            </w:tcBorders>
            <w:shd w:val="clear" w:color="auto" w:fill="auto"/>
            <w:vAlign w:val="center"/>
            <w:hideMark/>
          </w:tcPr>
          <w:p w14:paraId="45CA0784"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lang w:eastAsia="en-GB"/>
              </w:rPr>
              <w:t>25</w:t>
            </w:r>
          </w:p>
        </w:tc>
      </w:tr>
      <w:tr w:rsidR="00AB46AF" w:rsidRPr="00331588" w14:paraId="1A4C1B62" w14:textId="77777777" w:rsidTr="00AB46AF">
        <w:trPr>
          <w:trHeight w:val="405"/>
        </w:trPr>
        <w:tc>
          <w:tcPr>
            <w:tcW w:w="3524" w:type="dxa"/>
            <w:tcBorders>
              <w:top w:val="nil"/>
              <w:left w:val="single" w:sz="4" w:space="0" w:color="auto"/>
              <w:bottom w:val="single" w:sz="4" w:space="0" w:color="auto"/>
              <w:right w:val="nil"/>
            </w:tcBorders>
            <w:shd w:val="clear" w:color="auto" w:fill="auto"/>
            <w:vAlign w:val="center"/>
            <w:hideMark/>
          </w:tcPr>
          <w:p w14:paraId="7C56DB27" w14:textId="77777777" w:rsidR="00331588" w:rsidRPr="00331588" w:rsidRDefault="00331588" w:rsidP="00331588">
            <w:pPr>
              <w:spacing w:after="0" w:line="240" w:lineRule="auto"/>
              <w:rPr>
                <w:rFonts w:ascii="Arial" w:eastAsia="Times New Roman" w:hAnsi="Arial" w:cs="Arial"/>
                <w:lang w:eastAsia="en-GB"/>
              </w:rPr>
            </w:pPr>
            <w:r w:rsidRPr="00331588">
              <w:rPr>
                <w:rFonts w:ascii="Arial" w:eastAsia="Times New Roman" w:hAnsi="Arial" w:cs="Arial"/>
                <w:lang w:eastAsia="en-GB"/>
              </w:rPr>
              <w:t>Total income items</w:t>
            </w:r>
          </w:p>
        </w:tc>
        <w:tc>
          <w:tcPr>
            <w:tcW w:w="1328" w:type="dxa"/>
            <w:tcBorders>
              <w:top w:val="nil"/>
              <w:left w:val="nil"/>
              <w:bottom w:val="single" w:sz="4" w:space="0" w:color="auto"/>
              <w:right w:val="nil"/>
            </w:tcBorders>
            <w:shd w:val="clear" w:color="auto" w:fill="auto"/>
            <w:vAlign w:val="center"/>
            <w:hideMark/>
          </w:tcPr>
          <w:p w14:paraId="2B2261AD"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lang w:eastAsia="en-GB"/>
              </w:rPr>
              <w:t>8</w:t>
            </w:r>
          </w:p>
        </w:tc>
        <w:tc>
          <w:tcPr>
            <w:tcW w:w="1280" w:type="dxa"/>
            <w:tcBorders>
              <w:top w:val="nil"/>
              <w:left w:val="nil"/>
              <w:bottom w:val="single" w:sz="4" w:space="0" w:color="auto"/>
              <w:right w:val="nil"/>
            </w:tcBorders>
            <w:shd w:val="clear" w:color="auto" w:fill="auto"/>
            <w:vAlign w:val="center"/>
            <w:hideMark/>
          </w:tcPr>
          <w:p w14:paraId="610A0316"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lang w:eastAsia="en-GB"/>
              </w:rPr>
              <w:t>227</w:t>
            </w:r>
          </w:p>
        </w:tc>
        <w:tc>
          <w:tcPr>
            <w:tcW w:w="1651" w:type="dxa"/>
            <w:tcBorders>
              <w:top w:val="nil"/>
              <w:left w:val="nil"/>
              <w:bottom w:val="single" w:sz="4" w:space="0" w:color="auto"/>
              <w:right w:val="nil"/>
            </w:tcBorders>
            <w:shd w:val="clear" w:color="auto" w:fill="auto"/>
            <w:vAlign w:val="center"/>
            <w:hideMark/>
          </w:tcPr>
          <w:p w14:paraId="582549A5"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lang w:eastAsia="en-GB"/>
              </w:rPr>
              <w:t>124</w:t>
            </w:r>
          </w:p>
        </w:tc>
        <w:tc>
          <w:tcPr>
            <w:tcW w:w="1234" w:type="dxa"/>
            <w:tcBorders>
              <w:top w:val="nil"/>
              <w:left w:val="nil"/>
              <w:bottom w:val="single" w:sz="4" w:space="0" w:color="auto"/>
              <w:right w:val="nil"/>
            </w:tcBorders>
            <w:shd w:val="clear" w:color="auto" w:fill="auto"/>
            <w:vAlign w:val="center"/>
            <w:hideMark/>
          </w:tcPr>
          <w:p w14:paraId="298712F0"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lang w:eastAsia="en-GB"/>
              </w:rPr>
              <w:t>61</w:t>
            </w:r>
          </w:p>
        </w:tc>
        <w:tc>
          <w:tcPr>
            <w:tcW w:w="1537" w:type="dxa"/>
            <w:tcBorders>
              <w:top w:val="nil"/>
              <w:left w:val="nil"/>
              <w:bottom w:val="single" w:sz="4" w:space="0" w:color="auto"/>
              <w:right w:val="nil"/>
            </w:tcBorders>
            <w:shd w:val="clear" w:color="auto" w:fill="auto"/>
            <w:vAlign w:val="center"/>
            <w:hideMark/>
          </w:tcPr>
          <w:p w14:paraId="3DEE4C6A"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lang w:eastAsia="en-GB"/>
              </w:rPr>
              <w:t>25</w:t>
            </w:r>
          </w:p>
        </w:tc>
        <w:tc>
          <w:tcPr>
            <w:tcW w:w="987" w:type="dxa"/>
            <w:tcBorders>
              <w:top w:val="nil"/>
              <w:left w:val="nil"/>
              <w:bottom w:val="single" w:sz="4" w:space="0" w:color="auto"/>
              <w:right w:val="nil"/>
            </w:tcBorders>
            <w:shd w:val="clear" w:color="auto" w:fill="auto"/>
            <w:vAlign w:val="center"/>
            <w:hideMark/>
          </w:tcPr>
          <w:p w14:paraId="79F6666E"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lang w:eastAsia="en-GB"/>
              </w:rPr>
              <w:t>16</w:t>
            </w:r>
          </w:p>
        </w:tc>
        <w:tc>
          <w:tcPr>
            <w:tcW w:w="1121" w:type="dxa"/>
            <w:tcBorders>
              <w:top w:val="nil"/>
              <w:left w:val="nil"/>
              <w:bottom w:val="single" w:sz="4" w:space="0" w:color="auto"/>
              <w:right w:val="nil"/>
            </w:tcBorders>
            <w:shd w:val="clear" w:color="auto" w:fill="auto"/>
            <w:vAlign w:val="center"/>
            <w:hideMark/>
          </w:tcPr>
          <w:p w14:paraId="7CC487B0"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lang w:eastAsia="en-GB"/>
              </w:rPr>
              <w:t>30</w:t>
            </w:r>
          </w:p>
        </w:tc>
        <w:tc>
          <w:tcPr>
            <w:tcW w:w="1084" w:type="dxa"/>
            <w:tcBorders>
              <w:top w:val="nil"/>
              <w:left w:val="nil"/>
              <w:bottom w:val="single" w:sz="4" w:space="0" w:color="auto"/>
              <w:right w:val="nil"/>
            </w:tcBorders>
            <w:shd w:val="clear" w:color="auto" w:fill="auto"/>
            <w:vAlign w:val="center"/>
            <w:hideMark/>
          </w:tcPr>
          <w:p w14:paraId="1A96635A"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lang w:eastAsia="en-GB"/>
              </w:rPr>
              <w:t>76</w:t>
            </w:r>
          </w:p>
        </w:tc>
        <w:tc>
          <w:tcPr>
            <w:tcW w:w="1134" w:type="dxa"/>
            <w:tcBorders>
              <w:top w:val="nil"/>
              <w:left w:val="nil"/>
              <w:bottom w:val="single" w:sz="4" w:space="0" w:color="auto"/>
              <w:right w:val="single" w:sz="4" w:space="0" w:color="auto"/>
            </w:tcBorders>
            <w:shd w:val="clear" w:color="auto" w:fill="auto"/>
            <w:vAlign w:val="center"/>
            <w:hideMark/>
          </w:tcPr>
          <w:p w14:paraId="166E2347"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lang w:eastAsia="en-GB"/>
              </w:rPr>
              <w:t>567</w:t>
            </w:r>
          </w:p>
        </w:tc>
      </w:tr>
      <w:tr w:rsidR="00AB46AF" w:rsidRPr="00331588" w14:paraId="06503CED" w14:textId="77777777" w:rsidTr="00AB46AF">
        <w:trPr>
          <w:trHeight w:val="405"/>
        </w:trPr>
        <w:tc>
          <w:tcPr>
            <w:tcW w:w="3524" w:type="dxa"/>
            <w:tcBorders>
              <w:top w:val="nil"/>
              <w:left w:val="single" w:sz="4" w:space="0" w:color="auto"/>
              <w:bottom w:val="single" w:sz="4" w:space="0" w:color="auto"/>
              <w:right w:val="nil"/>
            </w:tcBorders>
            <w:shd w:val="clear" w:color="auto" w:fill="auto"/>
            <w:vAlign w:val="center"/>
            <w:hideMark/>
          </w:tcPr>
          <w:p w14:paraId="74C3481A" w14:textId="77777777" w:rsidR="00331588" w:rsidRPr="00BA477F" w:rsidRDefault="00331588" w:rsidP="00331588">
            <w:pPr>
              <w:spacing w:after="0" w:line="240" w:lineRule="auto"/>
              <w:rPr>
                <w:rFonts w:ascii="Arial" w:eastAsia="Times New Roman" w:hAnsi="Arial" w:cs="Arial"/>
                <w:lang w:eastAsia="en-GB"/>
              </w:rPr>
            </w:pPr>
            <w:r w:rsidRPr="00BA477F">
              <w:rPr>
                <w:rFonts w:ascii="Arial" w:eastAsia="Times New Roman" w:hAnsi="Arial" w:cs="Arial"/>
                <w:lang w:eastAsia="en-GB"/>
              </w:rPr>
              <w:t>Total as % of income</w:t>
            </w:r>
          </w:p>
        </w:tc>
        <w:tc>
          <w:tcPr>
            <w:tcW w:w="1328" w:type="dxa"/>
            <w:tcBorders>
              <w:top w:val="nil"/>
              <w:left w:val="nil"/>
              <w:bottom w:val="single" w:sz="4" w:space="0" w:color="auto"/>
              <w:right w:val="nil"/>
            </w:tcBorders>
            <w:shd w:val="clear" w:color="auto" w:fill="auto"/>
            <w:vAlign w:val="center"/>
            <w:hideMark/>
          </w:tcPr>
          <w:p w14:paraId="02B214EB" w14:textId="77777777" w:rsidR="00331588" w:rsidRPr="00BA477F" w:rsidRDefault="00331588" w:rsidP="00331588">
            <w:pPr>
              <w:spacing w:after="0" w:line="240" w:lineRule="auto"/>
              <w:jc w:val="right"/>
              <w:rPr>
                <w:rFonts w:ascii="Arial" w:eastAsia="Times New Roman" w:hAnsi="Arial" w:cs="Arial"/>
                <w:lang w:eastAsia="en-GB"/>
              </w:rPr>
            </w:pPr>
            <w:r w:rsidRPr="00BA477F">
              <w:rPr>
                <w:rFonts w:ascii="Arial" w:eastAsia="Times New Roman" w:hAnsi="Arial" w:cs="Arial"/>
                <w:lang w:eastAsia="en-GB"/>
              </w:rPr>
              <w:t>0.5%</w:t>
            </w:r>
          </w:p>
        </w:tc>
        <w:tc>
          <w:tcPr>
            <w:tcW w:w="1280" w:type="dxa"/>
            <w:tcBorders>
              <w:top w:val="nil"/>
              <w:left w:val="nil"/>
              <w:bottom w:val="single" w:sz="4" w:space="0" w:color="auto"/>
              <w:right w:val="nil"/>
            </w:tcBorders>
            <w:shd w:val="clear" w:color="auto" w:fill="auto"/>
            <w:vAlign w:val="center"/>
            <w:hideMark/>
          </w:tcPr>
          <w:p w14:paraId="04D93E70" w14:textId="77777777" w:rsidR="00331588" w:rsidRPr="00BA477F" w:rsidRDefault="00331588" w:rsidP="00331588">
            <w:pPr>
              <w:spacing w:after="0" w:line="240" w:lineRule="auto"/>
              <w:jc w:val="right"/>
              <w:rPr>
                <w:rFonts w:ascii="Arial" w:eastAsia="Times New Roman" w:hAnsi="Arial" w:cs="Arial"/>
                <w:lang w:eastAsia="en-GB"/>
              </w:rPr>
            </w:pPr>
            <w:r w:rsidRPr="00BA477F">
              <w:rPr>
                <w:rFonts w:ascii="Arial" w:eastAsia="Times New Roman" w:hAnsi="Arial" w:cs="Arial"/>
                <w:lang w:eastAsia="en-GB"/>
              </w:rPr>
              <w:t>45.7%</w:t>
            </w:r>
          </w:p>
        </w:tc>
        <w:tc>
          <w:tcPr>
            <w:tcW w:w="1651" w:type="dxa"/>
            <w:tcBorders>
              <w:top w:val="nil"/>
              <w:left w:val="nil"/>
              <w:bottom w:val="single" w:sz="4" w:space="0" w:color="auto"/>
              <w:right w:val="nil"/>
            </w:tcBorders>
            <w:shd w:val="clear" w:color="auto" w:fill="auto"/>
            <w:vAlign w:val="center"/>
            <w:hideMark/>
          </w:tcPr>
          <w:p w14:paraId="1D3CF19C" w14:textId="77777777" w:rsidR="00331588" w:rsidRPr="00BA477F" w:rsidRDefault="00331588" w:rsidP="00331588">
            <w:pPr>
              <w:spacing w:after="0" w:line="240" w:lineRule="auto"/>
              <w:jc w:val="right"/>
              <w:rPr>
                <w:rFonts w:ascii="Arial" w:eastAsia="Times New Roman" w:hAnsi="Arial" w:cs="Arial"/>
                <w:lang w:eastAsia="en-GB"/>
              </w:rPr>
            </w:pPr>
            <w:r w:rsidRPr="00BA477F">
              <w:rPr>
                <w:rFonts w:ascii="Arial" w:eastAsia="Times New Roman" w:hAnsi="Arial" w:cs="Arial"/>
                <w:lang w:eastAsia="en-GB"/>
              </w:rPr>
              <w:t>11.6%</w:t>
            </w:r>
          </w:p>
        </w:tc>
        <w:tc>
          <w:tcPr>
            <w:tcW w:w="1234" w:type="dxa"/>
            <w:tcBorders>
              <w:top w:val="nil"/>
              <w:left w:val="nil"/>
              <w:bottom w:val="single" w:sz="4" w:space="0" w:color="auto"/>
              <w:right w:val="nil"/>
            </w:tcBorders>
            <w:shd w:val="clear" w:color="auto" w:fill="auto"/>
            <w:vAlign w:val="center"/>
            <w:hideMark/>
          </w:tcPr>
          <w:p w14:paraId="460DAA81" w14:textId="77777777" w:rsidR="00331588" w:rsidRPr="00BA477F" w:rsidRDefault="00331588" w:rsidP="00331588">
            <w:pPr>
              <w:spacing w:after="0" w:line="240" w:lineRule="auto"/>
              <w:jc w:val="right"/>
              <w:rPr>
                <w:rFonts w:ascii="Arial" w:eastAsia="Times New Roman" w:hAnsi="Arial" w:cs="Arial"/>
                <w:lang w:eastAsia="en-GB"/>
              </w:rPr>
            </w:pPr>
            <w:r w:rsidRPr="00BA477F">
              <w:rPr>
                <w:rFonts w:ascii="Arial" w:eastAsia="Times New Roman" w:hAnsi="Arial" w:cs="Arial"/>
                <w:lang w:eastAsia="en-GB"/>
              </w:rPr>
              <w:t>3.2%</w:t>
            </w:r>
          </w:p>
        </w:tc>
        <w:tc>
          <w:tcPr>
            <w:tcW w:w="1537" w:type="dxa"/>
            <w:tcBorders>
              <w:top w:val="nil"/>
              <w:left w:val="nil"/>
              <w:bottom w:val="single" w:sz="4" w:space="0" w:color="auto"/>
              <w:right w:val="nil"/>
            </w:tcBorders>
            <w:shd w:val="clear" w:color="auto" w:fill="auto"/>
            <w:vAlign w:val="center"/>
            <w:hideMark/>
          </w:tcPr>
          <w:p w14:paraId="1552F457" w14:textId="77777777" w:rsidR="00331588" w:rsidRPr="00BA477F" w:rsidRDefault="00331588" w:rsidP="00331588">
            <w:pPr>
              <w:spacing w:after="0" w:line="240" w:lineRule="auto"/>
              <w:jc w:val="right"/>
              <w:rPr>
                <w:rFonts w:ascii="Arial" w:eastAsia="Times New Roman" w:hAnsi="Arial" w:cs="Arial"/>
                <w:lang w:eastAsia="en-GB"/>
              </w:rPr>
            </w:pPr>
            <w:r w:rsidRPr="00BA477F">
              <w:rPr>
                <w:rFonts w:ascii="Arial" w:eastAsia="Times New Roman" w:hAnsi="Arial" w:cs="Arial"/>
                <w:lang w:eastAsia="en-GB"/>
              </w:rPr>
              <w:t>2.6%</w:t>
            </w:r>
          </w:p>
        </w:tc>
        <w:tc>
          <w:tcPr>
            <w:tcW w:w="987" w:type="dxa"/>
            <w:tcBorders>
              <w:top w:val="nil"/>
              <w:left w:val="nil"/>
              <w:bottom w:val="single" w:sz="4" w:space="0" w:color="auto"/>
              <w:right w:val="nil"/>
            </w:tcBorders>
            <w:shd w:val="clear" w:color="auto" w:fill="auto"/>
            <w:vAlign w:val="center"/>
            <w:hideMark/>
          </w:tcPr>
          <w:p w14:paraId="2A7464C1" w14:textId="77777777" w:rsidR="00331588" w:rsidRPr="00BA477F" w:rsidRDefault="00331588" w:rsidP="00331588">
            <w:pPr>
              <w:spacing w:after="0" w:line="240" w:lineRule="auto"/>
              <w:jc w:val="right"/>
              <w:rPr>
                <w:rFonts w:ascii="Arial" w:eastAsia="Times New Roman" w:hAnsi="Arial" w:cs="Arial"/>
                <w:lang w:eastAsia="en-GB"/>
              </w:rPr>
            </w:pPr>
            <w:r w:rsidRPr="00BA477F">
              <w:rPr>
                <w:rFonts w:ascii="Arial" w:eastAsia="Times New Roman" w:hAnsi="Arial" w:cs="Arial"/>
                <w:lang w:eastAsia="en-GB"/>
              </w:rPr>
              <w:t>2.4%</w:t>
            </w:r>
          </w:p>
        </w:tc>
        <w:tc>
          <w:tcPr>
            <w:tcW w:w="1121" w:type="dxa"/>
            <w:tcBorders>
              <w:top w:val="nil"/>
              <w:left w:val="nil"/>
              <w:bottom w:val="single" w:sz="4" w:space="0" w:color="auto"/>
              <w:right w:val="nil"/>
            </w:tcBorders>
            <w:shd w:val="clear" w:color="auto" w:fill="auto"/>
            <w:vAlign w:val="center"/>
            <w:hideMark/>
          </w:tcPr>
          <w:p w14:paraId="4E4A0DF7" w14:textId="77777777" w:rsidR="00331588" w:rsidRPr="00BA477F" w:rsidRDefault="00331588" w:rsidP="00331588">
            <w:pPr>
              <w:spacing w:after="0" w:line="240" w:lineRule="auto"/>
              <w:jc w:val="right"/>
              <w:rPr>
                <w:rFonts w:ascii="Arial" w:eastAsia="Times New Roman" w:hAnsi="Arial" w:cs="Arial"/>
                <w:lang w:eastAsia="en-GB"/>
              </w:rPr>
            </w:pPr>
            <w:r w:rsidRPr="00BA477F">
              <w:rPr>
                <w:rFonts w:ascii="Arial" w:eastAsia="Times New Roman" w:hAnsi="Arial" w:cs="Arial"/>
                <w:lang w:eastAsia="en-GB"/>
              </w:rPr>
              <w:t>2.7%</w:t>
            </w:r>
          </w:p>
        </w:tc>
        <w:tc>
          <w:tcPr>
            <w:tcW w:w="1084" w:type="dxa"/>
            <w:tcBorders>
              <w:top w:val="nil"/>
              <w:left w:val="nil"/>
              <w:bottom w:val="single" w:sz="4" w:space="0" w:color="auto"/>
              <w:right w:val="nil"/>
            </w:tcBorders>
            <w:shd w:val="clear" w:color="auto" w:fill="auto"/>
            <w:vAlign w:val="center"/>
            <w:hideMark/>
          </w:tcPr>
          <w:p w14:paraId="0A068C02" w14:textId="77777777" w:rsidR="00331588" w:rsidRPr="00BA477F" w:rsidRDefault="00331588" w:rsidP="00331588">
            <w:pPr>
              <w:spacing w:after="0" w:line="240" w:lineRule="auto"/>
              <w:jc w:val="right"/>
              <w:rPr>
                <w:rFonts w:ascii="Arial" w:eastAsia="Times New Roman" w:hAnsi="Arial" w:cs="Arial"/>
                <w:lang w:eastAsia="en-GB"/>
              </w:rPr>
            </w:pPr>
            <w:r w:rsidRPr="00BA477F">
              <w:rPr>
                <w:rFonts w:ascii="Arial" w:eastAsia="Times New Roman" w:hAnsi="Arial" w:cs="Arial"/>
                <w:lang w:eastAsia="en-GB"/>
              </w:rPr>
              <w:t>6.8%</w:t>
            </w:r>
          </w:p>
        </w:tc>
        <w:tc>
          <w:tcPr>
            <w:tcW w:w="1134" w:type="dxa"/>
            <w:tcBorders>
              <w:top w:val="nil"/>
              <w:left w:val="nil"/>
              <w:bottom w:val="single" w:sz="4" w:space="0" w:color="auto"/>
              <w:right w:val="single" w:sz="4" w:space="0" w:color="auto"/>
            </w:tcBorders>
            <w:shd w:val="clear" w:color="auto" w:fill="auto"/>
            <w:vAlign w:val="center"/>
            <w:hideMark/>
          </w:tcPr>
          <w:p w14:paraId="3835E2F2" w14:textId="77777777" w:rsidR="00331588" w:rsidRPr="00BA477F" w:rsidRDefault="00331588" w:rsidP="00331588">
            <w:pPr>
              <w:spacing w:after="0" w:line="240" w:lineRule="auto"/>
              <w:jc w:val="right"/>
              <w:rPr>
                <w:rFonts w:ascii="Arial" w:eastAsia="Times New Roman" w:hAnsi="Arial" w:cs="Arial"/>
                <w:lang w:eastAsia="en-GB"/>
              </w:rPr>
            </w:pPr>
            <w:r w:rsidRPr="00BA477F">
              <w:rPr>
                <w:rFonts w:ascii="Arial" w:eastAsia="Times New Roman" w:hAnsi="Arial" w:cs="Arial"/>
                <w:lang w:eastAsia="en-GB"/>
              </w:rPr>
              <w:t>6.3%</w:t>
            </w:r>
          </w:p>
        </w:tc>
      </w:tr>
      <w:tr w:rsidR="00AB46AF" w:rsidRPr="00331588" w14:paraId="0BA45024" w14:textId="77777777" w:rsidTr="00F65AD6">
        <w:trPr>
          <w:trHeight w:val="405"/>
        </w:trPr>
        <w:tc>
          <w:tcPr>
            <w:tcW w:w="3524" w:type="dxa"/>
            <w:tcBorders>
              <w:top w:val="nil"/>
              <w:left w:val="single" w:sz="4" w:space="0" w:color="auto"/>
              <w:bottom w:val="single" w:sz="4" w:space="0" w:color="auto"/>
              <w:right w:val="nil"/>
            </w:tcBorders>
            <w:shd w:val="clear" w:color="auto" w:fill="auto"/>
            <w:vAlign w:val="center"/>
            <w:hideMark/>
          </w:tcPr>
          <w:p w14:paraId="4F3E0FDC" w14:textId="14FF2A9F" w:rsidR="00331588" w:rsidRPr="00331588" w:rsidRDefault="00331588" w:rsidP="00331588">
            <w:pPr>
              <w:spacing w:after="0" w:line="240" w:lineRule="auto"/>
              <w:rPr>
                <w:rFonts w:ascii="Arial" w:eastAsia="Times New Roman" w:hAnsi="Arial" w:cs="Arial"/>
                <w:lang w:eastAsia="en-GB"/>
              </w:rPr>
            </w:pPr>
            <w:r w:rsidRPr="00331588">
              <w:rPr>
                <w:rFonts w:ascii="Arial" w:eastAsia="Times New Roman" w:hAnsi="Arial" w:cs="Arial"/>
                <w:lang w:eastAsia="en-GB"/>
              </w:rPr>
              <w:t xml:space="preserve">Total as % </w:t>
            </w:r>
            <w:r w:rsidR="00281B0F">
              <w:rPr>
                <w:rFonts w:ascii="Arial" w:eastAsia="Times New Roman" w:hAnsi="Arial" w:cs="Arial"/>
                <w:lang w:eastAsia="en-GB"/>
              </w:rPr>
              <w:t xml:space="preserve">of </w:t>
            </w:r>
            <w:r w:rsidRPr="00331588">
              <w:rPr>
                <w:rFonts w:ascii="Arial" w:eastAsia="Times New Roman" w:hAnsi="Arial" w:cs="Arial"/>
                <w:lang w:eastAsia="en-GB"/>
              </w:rPr>
              <w:t>income (2017-18)</w:t>
            </w:r>
          </w:p>
        </w:tc>
        <w:tc>
          <w:tcPr>
            <w:tcW w:w="1328" w:type="dxa"/>
            <w:tcBorders>
              <w:top w:val="nil"/>
              <w:left w:val="nil"/>
              <w:bottom w:val="single" w:sz="4" w:space="0" w:color="auto"/>
              <w:right w:val="nil"/>
            </w:tcBorders>
            <w:shd w:val="clear" w:color="auto" w:fill="auto"/>
            <w:vAlign w:val="center"/>
            <w:hideMark/>
          </w:tcPr>
          <w:p w14:paraId="1AF35ADE"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lang w:eastAsia="en-GB"/>
              </w:rPr>
              <w:t>3.4%</w:t>
            </w:r>
          </w:p>
        </w:tc>
        <w:tc>
          <w:tcPr>
            <w:tcW w:w="1280" w:type="dxa"/>
            <w:tcBorders>
              <w:top w:val="nil"/>
              <w:left w:val="nil"/>
              <w:bottom w:val="single" w:sz="4" w:space="0" w:color="auto"/>
              <w:right w:val="nil"/>
            </w:tcBorders>
            <w:shd w:val="clear" w:color="auto" w:fill="auto"/>
            <w:vAlign w:val="center"/>
            <w:hideMark/>
          </w:tcPr>
          <w:p w14:paraId="04F1B85D"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lang w:eastAsia="en-GB"/>
              </w:rPr>
              <w:t>38.5%</w:t>
            </w:r>
          </w:p>
        </w:tc>
        <w:tc>
          <w:tcPr>
            <w:tcW w:w="1651" w:type="dxa"/>
            <w:tcBorders>
              <w:top w:val="nil"/>
              <w:left w:val="nil"/>
              <w:bottom w:val="single" w:sz="4" w:space="0" w:color="auto"/>
              <w:right w:val="nil"/>
            </w:tcBorders>
            <w:shd w:val="clear" w:color="auto" w:fill="auto"/>
            <w:vAlign w:val="center"/>
            <w:hideMark/>
          </w:tcPr>
          <w:p w14:paraId="483A86BA"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lang w:eastAsia="en-GB"/>
              </w:rPr>
              <w:t>3.1%</w:t>
            </w:r>
          </w:p>
        </w:tc>
        <w:tc>
          <w:tcPr>
            <w:tcW w:w="1234" w:type="dxa"/>
            <w:tcBorders>
              <w:top w:val="nil"/>
              <w:left w:val="nil"/>
              <w:bottom w:val="single" w:sz="4" w:space="0" w:color="auto"/>
              <w:right w:val="nil"/>
            </w:tcBorders>
            <w:shd w:val="clear" w:color="auto" w:fill="auto"/>
            <w:vAlign w:val="center"/>
            <w:hideMark/>
          </w:tcPr>
          <w:p w14:paraId="084F573B"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lang w:eastAsia="en-GB"/>
              </w:rPr>
              <w:t>4.2%</w:t>
            </w:r>
          </w:p>
        </w:tc>
        <w:tc>
          <w:tcPr>
            <w:tcW w:w="1537" w:type="dxa"/>
            <w:tcBorders>
              <w:top w:val="nil"/>
              <w:left w:val="nil"/>
              <w:bottom w:val="single" w:sz="4" w:space="0" w:color="auto"/>
              <w:right w:val="nil"/>
            </w:tcBorders>
            <w:shd w:val="clear" w:color="auto" w:fill="auto"/>
            <w:vAlign w:val="center"/>
            <w:hideMark/>
          </w:tcPr>
          <w:p w14:paraId="66D214C0"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lang w:eastAsia="en-GB"/>
              </w:rPr>
              <w:t>4.4%</w:t>
            </w:r>
          </w:p>
        </w:tc>
        <w:tc>
          <w:tcPr>
            <w:tcW w:w="987" w:type="dxa"/>
            <w:tcBorders>
              <w:top w:val="nil"/>
              <w:left w:val="nil"/>
              <w:bottom w:val="single" w:sz="4" w:space="0" w:color="auto"/>
              <w:right w:val="nil"/>
            </w:tcBorders>
            <w:shd w:val="clear" w:color="auto" w:fill="auto"/>
            <w:vAlign w:val="center"/>
            <w:hideMark/>
          </w:tcPr>
          <w:p w14:paraId="2472EAEF"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lang w:eastAsia="en-GB"/>
              </w:rPr>
              <w:t>2.5%</w:t>
            </w:r>
          </w:p>
        </w:tc>
        <w:tc>
          <w:tcPr>
            <w:tcW w:w="1121" w:type="dxa"/>
            <w:tcBorders>
              <w:top w:val="nil"/>
              <w:left w:val="nil"/>
              <w:bottom w:val="single" w:sz="4" w:space="0" w:color="auto"/>
              <w:right w:val="nil"/>
            </w:tcBorders>
            <w:shd w:val="clear" w:color="auto" w:fill="auto"/>
            <w:vAlign w:val="center"/>
            <w:hideMark/>
          </w:tcPr>
          <w:p w14:paraId="67AB9CDA"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lang w:eastAsia="en-GB"/>
              </w:rPr>
              <w:t>2.8%</w:t>
            </w:r>
          </w:p>
        </w:tc>
        <w:tc>
          <w:tcPr>
            <w:tcW w:w="1084" w:type="dxa"/>
            <w:tcBorders>
              <w:top w:val="nil"/>
              <w:left w:val="nil"/>
              <w:bottom w:val="single" w:sz="4" w:space="0" w:color="auto"/>
              <w:right w:val="nil"/>
            </w:tcBorders>
            <w:shd w:val="clear" w:color="auto" w:fill="auto"/>
            <w:vAlign w:val="center"/>
            <w:hideMark/>
          </w:tcPr>
          <w:p w14:paraId="3DAD42B8"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lang w:eastAsia="en-GB"/>
              </w:rPr>
              <w:t>7.8%</w:t>
            </w:r>
          </w:p>
        </w:tc>
        <w:tc>
          <w:tcPr>
            <w:tcW w:w="1134" w:type="dxa"/>
            <w:tcBorders>
              <w:top w:val="nil"/>
              <w:left w:val="nil"/>
              <w:bottom w:val="single" w:sz="4" w:space="0" w:color="auto"/>
              <w:right w:val="single" w:sz="4" w:space="0" w:color="auto"/>
            </w:tcBorders>
            <w:shd w:val="clear" w:color="auto" w:fill="auto"/>
            <w:vAlign w:val="center"/>
            <w:hideMark/>
          </w:tcPr>
          <w:p w14:paraId="3AE5596C" w14:textId="77777777" w:rsidR="00331588" w:rsidRPr="00331588" w:rsidRDefault="00331588" w:rsidP="00331588">
            <w:pPr>
              <w:spacing w:after="0" w:line="240" w:lineRule="auto"/>
              <w:jc w:val="right"/>
              <w:rPr>
                <w:rFonts w:ascii="Arial" w:eastAsia="Times New Roman" w:hAnsi="Arial" w:cs="Arial"/>
                <w:lang w:eastAsia="en-GB"/>
              </w:rPr>
            </w:pPr>
            <w:r w:rsidRPr="00331588">
              <w:rPr>
                <w:rFonts w:ascii="Arial" w:eastAsia="Times New Roman" w:hAnsi="Arial" w:cs="Arial"/>
                <w:lang w:eastAsia="en-GB"/>
              </w:rPr>
              <w:t>5.6%</w:t>
            </w:r>
          </w:p>
        </w:tc>
      </w:tr>
    </w:tbl>
    <w:p w14:paraId="44CED59B" w14:textId="77777777" w:rsidR="001C496B" w:rsidRDefault="001C496B" w:rsidP="00F65AD6">
      <w:pPr>
        <w:pStyle w:val="Heading4"/>
        <w:spacing w:before="240"/>
      </w:pPr>
    </w:p>
    <w:p w14:paraId="18A8D14E" w14:textId="109F2804" w:rsidR="001B0081" w:rsidRPr="001B0081" w:rsidRDefault="001B0081" w:rsidP="001B0081">
      <w:pPr>
        <w:sectPr w:rsidR="001B0081" w:rsidRPr="001B0081" w:rsidSect="007F1764">
          <w:headerReference w:type="first" r:id="rId24"/>
          <w:pgSz w:w="16838" w:h="11906" w:orient="landscape" w:code="9"/>
          <w:pgMar w:top="1134" w:right="1134" w:bottom="1134" w:left="1134" w:header="454" w:footer="454" w:gutter="0"/>
          <w:cols w:space="708"/>
          <w:titlePg/>
          <w:docGrid w:linePitch="360"/>
        </w:sectPr>
      </w:pPr>
    </w:p>
    <w:p w14:paraId="12529969" w14:textId="16D38780" w:rsidR="003A5EE5" w:rsidRDefault="003A5EE5" w:rsidP="009D4FC2">
      <w:pPr>
        <w:pStyle w:val="Heading4"/>
      </w:pPr>
      <w:r>
        <w:lastRenderedPageBreak/>
        <w:t>Notes to Table 2</w:t>
      </w:r>
    </w:p>
    <w:p w14:paraId="228672D2" w14:textId="77777777" w:rsidR="00AF67EB" w:rsidRDefault="003A5EE5" w:rsidP="00033ACB">
      <w:pPr>
        <w:pStyle w:val="ListParagraph"/>
        <w:numPr>
          <w:ilvl w:val="0"/>
          <w:numId w:val="27"/>
        </w:numPr>
        <w:spacing w:after="240" w:line="300" w:lineRule="atLeast"/>
        <w:ind w:left="284" w:hanging="284"/>
        <w:contextualSpacing w:val="0"/>
      </w:pPr>
      <w:r>
        <w:t xml:space="preserve">‘European Union’ covers EU government bodies including the Commission. </w:t>
      </w:r>
    </w:p>
    <w:p w14:paraId="5A6E4AD7" w14:textId="74DECDB4" w:rsidR="0010522F" w:rsidRDefault="003A5EE5" w:rsidP="00033ACB">
      <w:pPr>
        <w:pStyle w:val="ListParagraph"/>
        <w:numPr>
          <w:ilvl w:val="0"/>
          <w:numId w:val="27"/>
        </w:numPr>
        <w:spacing w:after="240" w:line="300" w:lineRule="atLeast"/>
        <w:ind w:left="284" w:hanging="284"/>
      </w:pPr>
      <w:r>
        <w:t xml:space="preserve">‘Industry’ includes all other organisations such as UK industry, commerce and public corporations, EU non-government organisations (comprising EU-based charities, EU industry and any other EU source), overseas charities, overseas </w:t>
      </w:r>
      <w:proofErr w:type="gramStart"/>
      <w:r>
        <w:t>industry</w:t>
      </w:r>
      <w:proofErr w:type="gramEnd"/>
      <w:r>
        <w:t xml:space="preserve"> and other sources.</w:t>
      </w:r>
    </w:p>
    <w:p w14:paraId="0020A50F" w14:textId="77777777" w:rsidR="0013176D" w:rsidRDefault="0013176D" w:rsidP="00270B89">
      <w:pPr>
        <w:spacing w:after="240" w:line="300" w:lineRule="atLeast"/>
      </w:pPr>
    </w:p>
    <w:p w14:paraId="32546121" w14:textId="7F68EC50" w:rsidR="0013176D" w:rsidRDefault="0013176D" w:rsidP="00270B89">
      <w:pPr>
        <w:spacing w:after="240" w:line="300" w:lineRule="atLeast"/>
        <w:sectPr w:rsidR="0013176D" w:rsidSect="00602948">
          <w:pgSz w:w="11906" w:h="16838" w:code="9"/>
          <w:pgMar w:top="1134" w:right="1134" w:bottom="1134" w:left="1134" w:header="454" w:footer="454" w:gutter="0"/>
          <w:cols w:space="708"/>
          <w:titlePg/>
          <w:docGrid w:linePitch="360"/>
        </w:sectPr>
      </w:pPr>
    </w:p>
    <w:p w14:paraId="4EB7A7C4" w14:textId="669635FC" w:rsidR="004D0B01" w:rsidRDefault="00447B86" w:rsidP="009E50BD">
      <w:pPr>
        <w:pStyle w:val="Heading1"/>
      </w:pPr>
      <w:bookmarkStart w:id="7" w:name="_Toc42783352"/>
      <w:r>
        <w:lastRenderedPageBreak/>
        <w:t>Annex A</w:t>
      </w:r>
      <w:r w:rsidR="00452408">
        <w:t>:</w:t>
      </w:r>
      <w:r>
        <w:t xml:space="preserve"> Derivations</w:t>
      </w:r>
      <w:bookmarkEnd w:id="7"/>
    </w:p>
    <w:p w14:paraId="76ABEEDE" w14:textId="09A9F644" w:rsidR="00575E0C" w:rsidRPr="000E1960" w:rsidRDefault="00575E0C" w:rsidP="00575E0C">
      <w:pPr>
        <w:pStyle w:val="Heading3"/>
      </w:pPr>
      <w:bookmarkStart w:id="8" w:name="_Toc42783353"/>
      <w:r w:rsidRPr="00481CF8">
        <w:t xml:space="preserve">Table 3: Derivation of Transparent Approach to Costing </w:t>
      </w:r>
      <w:r w:rsidR="00452408">
        <w:t>(</w:t>
      </w:r>
      <w:r w:rsidRPr="00481CF8">
        <w:t>TRAC</w:t>
      </w:r>
      <w:r w:rsidR="00452408">
        <w:t>)</w:t>
      </w:r>
      <w:r w:rsidRPr="00481CF8">
        <w:t xml:space="preserve"> full economic costs and </w:t>
      </w:r>
      <w:r w:rsidR="00CB07D5">
        <w:t>TRAC surplus/(deficit)</w:t>
      </w:r>
      <w:r w:rsidRPr="00481CF8">
        <w:t xml:space="preserve"> </w:t>
      </w:r>
      <w:r w:rsidR="00CB07D5">
        <w:t xml:space="preserve">for </w:t>
      </w:r>
      <w:r w:rsidR="00A71209">
        <w:t>higher education institutions</w:t>
      </w:r>
      <w:r w:rsidRPr="00481CF8">
        <w:t xml:space="preserve"> in England and Northern Ireland</w:t>
      </w:r>
      <w:bookmarkEnd w:id="8"/>
    </w:p>
    <w:tbl>
      <w:tblPr>
        <w:tblW w:w="9940" w:type="dxa"/>
        <w:tblLook w:val="04A0" w:firstRow="1" w:lastRow="0" w:firstColumn="1" w:lastColumn="0" w:noHBand="0" w:noVBand="1"/>
      </w:tblPr>
      <w:tblGrid>
        <w:gridCol w:w="8740"/>
        <w:gridCol w:w="1200"/>
      </w:tblGrid>
      <w:tr w:rsidR="00026236" w:rsidRPr="00026236" w14:paraId="1C964B60" w14:textId="77777777" w:rsidTr="00940012">
        <w:trPr>
          <w:trHeight w:val="607"/>
        </w:trPr>
        <w:tc>
          <w:tcPr>
            <w:tcW w:w="8740" w:type="dxa"/>
            <w:tcBorders>
              <w:top w:val="single" w:sz="4" w:space="0" w:color="auto"/>
              <w:left w:val="single" w:sz="4" w:space="0" w:color="auto"/>
              <w:bottom w:val="single" w:sz="4" w:space="0" w:color="auto"/>
              <w:right w:val="nil"/>
            </w:tcBorders>
            <w:shd w:val="clear" w:color="000000" w:fill="002554"/>
            <w:vAlign w:val="center"/>
            <w:hideMark/>
          </w:tcPr>
          <w:p w14:paraId="75DCB015" w14:textId="77777777" w:rsidR="00026236" w:rsidRPr="00026236" w:rsidRDefault="00026236" w:rsidP="00026236">
            <w:pPr>
              <w:spacing w:after="0" w:line="240" w:lineRule="auto"/>
              <w:rPr>
                <w:rFonts w:ascii="Arial" w:eastAsia="Times New Roman" w:hAnsi="Arial" w:cs="Arial"/>
                <w:b/>
                <w:bCs/>
                <w:color w:val="FFFFFF"/>
                <w:lang w:eastAsia="en-GB"/>
              </w:rPr>
            </w:pPr>
            <w:r w:rsidRPr="00026236">
              <w:rPr>
                <w:rFonts w:ascii="Arial" w:eastAsia="Times New Roman" w:hAnsi="Arial" w:cs="Arial"/>
                <w:b/>
                <w:bCs/>
                <w:color w:val="FFFFFF"/>
                <w:lang w:eastAsia="en-GB"/>
              </w:rPr>
              <w:t> </w:t>
            </w:r>
          </w:p>
        </w:tc>
        <w:tc>
          <w:tcPr>
            <w:tcW w:w="1200" w:type="dxa"/>
            <w:tcBorders>
              <w:top w:val="single" w:sz="4" w:space="0" w:color="auto"/>
              <w:left w:val="nil"/>
              <w:bottom w:val="nil"/>
              <w:right w:val="single" w:sz="4" w:space="0" w:color="auto"/>
            </w:tcBorders>
            <w:shd w:val="clear" w:color="000000" w:fill="002554"/>
            <w:vAlign w:val="center"/>
            <w:hideMark/>
          </w:tcPr>
          <w:p w14:paraId="2E5C0E1D" w14:textId="77777777" w:rsidR="00026236" w:rsidRPr="00026236" w:rsidRDefault="00026236" w:rsidP="00026236">
            <w:pPr>
              <w:spacing w:after="0" w:line="240" w:lineRule="auto"/>
              <w:jc w:val="right"/>
              <w:rPr>
                <w:rFonts w:ascii="Arial" w:eastAsia="Times New Roman" w:hAnsi="Arial" w:cs="Arial"/>
                <w:b/>
                <w:bCs/>
                <w:color w:val="FFFFFF"/>
                <w:lang w:eastAsia="en-GB"/>
              </w:rPr>
            </w:pPr>
            <w:r w:rsidRPr="00026236">
              <w:rPr>
                <w:rFonts w:ascii="Arial" w:eastAsia="Times New Roman" w:hAnsi="Arial" w:cs="Arial"/>
                <w:b/>
                <w:bCs/>
                <w:color w:val="FFFFFF"/>
                <w:lang w:eastAsia="en-GB"/>
              </w:rPr>
              <w:t>Total (£M)</w:t>
            </w:r>
          </w:p>
        </w:tc>
      </w:tr>
      <w:tr w:rsidR="00026236" w:rsidRPr="00026236" w14:paraId="78B42D95" w14:textId="77777777" w:rsidTr="00026236">
        <w:trPr>
          <w:trHeight w:val="450"/>
        </w:trPr>
        <w:tc>
          <w:tcPr>
            <w:tcW w:w="8740" w:type="dxa"/>
            <w:tcBorders>
              <w:top w:val="nil"/>
              <w:left w:val="single" w:sz="4" w:space="0" w:color="auto"/>
              <w:bottom w:val="nil"/>
              <w:right w:val="nil"/>
            </w:tcBorders>
            <w:shd w:val="clear" w:color="auto" w:fill="auto"/>
            <w:vAlign w:val="center"/>
            <w:hideMark/>
          </w:tcPr>
          <w:p w14:paraId="4CD65760" w14:textId="77777777" w:rsidR="00026236" w:rsidRPr="00026236" w:rsidRDefault="00026236" w:rsidP="00026236">
            <w:pPr>
              <w:spacing w:after="0" w:line="240" w:lineRule="auto"/>
              <w:rPr>
                <w:rFonts w:ascii="Arial" w:eastAsia="Times New Roman" w:hAnsi="Arial" w:cs="Arial"/>
                <w:lang w:eastAsia="en-GB"/>
              </w:rPr>
            </w:pPr>
            <w:r w:rsidRPr="00026236">
              <w:rPr>
                <w:rFonts w:ascii="Arial" w:eastAsia="Times New Roman" w:hAnsi="Arial" w:cs="Arial"/>
                <w:lang w:eastAsia="en-GB"/>
              </w:rPr>
              <w:t>Total income adjusted for TRAC (derived from financial statements for 2018-19)</w:t>
            </w:r>
          </w:p>
        </w:tc>
        <w:tc>
          <w:tcPr>
            <w:tcW w:w="1200" w:type="dxa"/>
            <w:tcBorders>
              <w:top w:val="single" w:sz="4" w:space="0" w:color="auto"/>
              <w:left w:val="nil"/>
              <w:bottom w:val="nil"/>
              <w:right w:val="single" w:sz="4" w:space="0" w:color="auto"/>
            </w:tcBorders>
            <w:shd w:val="clear" w:color="auto" w:fill="auto"/>
            <w:vAlign w:val="center"/>
            <w:hideMark/>
          </w:tcPr>
          <w:p w14:paraId="55E2CBE0" w14:textId="77777777" w:rsidR="00026236" w:rsidRPr="00026236" w:rsidRDefault="00026236" w:rsidP="00026236">
            <w:pPr>
              <w:spacing w:after="0" w:line="240" w:lineRule="auto"/>
              <w:jc w:val="right"/>
              <w:rPr>
                <w:rFonts w:ascii="Arial" w:eastAsia="Times New Roman" w:hAnsi="Arial" w:cs="Arial"/>
                <w:lang w:eastAsia="en-GB"/>
              </w:rPr>
            </w:pPr>
            <w:r w:rsidRPr="00026236">
              <w:rPr>
                <w:rFonts w:ascii="Arial" w:eastAsia="Times New Roman" w:hAnsi="Arial" w:cs="Arial"/>
                <w:lang w:eastAsia="en-GB"/>
              </w:rPr>
              <w:t>35,494</w:t>
            </w:r>
          </w:p>
        </w:tc>
      </w:tr>
      <w:tr w:rsidR="00026236" w:rsidRPr="00026236" w14:paraId="666EFFAB" w14:textId="77777777" w:rsidTr="00026236">
        <w:trPr>
          <w:trHeight w:val="450"/>
        </w:trPr>
        <w:tc>
          <w:tcPr>
            <w:tcW w:w="8740" w:type="dxa"/>
            <w:tcBorders>
              <w:top w:val="nil"/>
              <w:left w:val="single" w:sz="4" w:space="0" w:color="auto"/>
              <w:bottom w:val="single" w:sz="4" w:space="0" w:color="auto"/>
              <w:right w:val="nil"/>
            </w:tcBorders>
            <w:shd w:val="clear" w:color="auto" w:fill="auto"/>
            <w:vAlign w:val="center"/>
            <w:hideMark/>
          </w:tcPr>
          <w:p w14:paraId="3345ABD5" w14:textId="77777777" w:rsidR="00026236" w:rsidRPr="00026236" w:rsidRDefault="00026236" w:rsidP="00026236">
            <w:pPr>
              <w:spacing w:after="0" w:line="240" w:lineRule="auto"/>
              <w:rPr>
                <w:rFonts w:ascii="Arial" w:eastAsia="Times New Roman" w:hAnsi="Arial" w:cs="Arial"/>
                <w:lang w:eastAsia="en-GB"/>
              </w:rPr>
            </w:pPr>
            <w:r w:rsidRPr="00026236">
              <w:rPr>
                <w:rFonts w:ascii="Arial" w:eastAsia="Times New Roman" w:hAnsi="Arial" w:cs="Arial"/>
                <w:lang w:eastAsia="en-GB"/>
              </w:rPr>
              <w:t>Total expenditure adjusted for TRAC (derived from financial statements for 2018-19)</w:t>
            </w:r>
          </w:p>
        </w:tc>
        <w:tc>
          <w:tcPr>
            <w:tcW w:w="1200" w:type="dxa"/>
            <w:tcBorders>
              <w:top w:val="nil"/>
              <w:left w:val="nil"/>
              <w:bottom w:val="single" w:sz="4" w:space="0" w:color="auto"/>
              <w:right w:val="single" w:sz="4" w:space="0" w:color="auto"/>
            </w:tcBorders>
            <w:shd w:val="clear" w:color="auto" w:fill="auto"/>
            <w:vAlign w:val="center"/>
            <w:hideMark/>
          </w:tcPr>
          <w:p w14:paraId="12DDEA37" w14:textId="77777777" w:rsidR="00026236" w:rsidRPr="00026236" w:rsidRDefault="00026236" w:rsidP="00026236">
            <w:pPr>
              <w:spacing w:after="0" w:line="240" w:lineRule="auto"/>
              <w:jc w:val="right"/>
              <w:rPr>
                <w:rFonts w:ascii="Arial" w:eastAsia="Times New Roman" w:hAnsi="Arial" w:cs="Arial"/>
                <w:lang w:eastAsia="en-GB"/>
              </w:rPr>
            </w:pPr>
            <w:r w:rsidRPr="00026236">
              <w:rPr>
                <w:rFonts w:ascii="Arial" w:eastAsia="Times New Roman" w:hAnsi="Arial" w:cs="Arial"/>
                <w:lang w:eastAsia="en-GB"/>
              </w:rPr>
              <w:t>33,719</w:t>
            </w:r>
          </w:p>
        </w:tc>
      </w:tr>
      <w:tr w:rsidR="00026236" w:rsidRPr="00026236" w14:paraId="439175F0" w14:textId="77777777" w:rsidTr="00026236">
        <w:trPr>
          <w:trHeight w:val="450"/>
        </w:trPr>
        <w:tc>
          <w:tcPr>
            <w:tcW w:w="8740" w:type="dxa"/>
            <w:tcBorders>
              <w:top w:val="nil"/>
              <w:left w:val="single" w:sz="4" w:space="0" w:color="auto"/>
              <w:bottom w:val="single" w:sz="4" w:space="0" w:color="auto"/>
              <w:right w:val="nil"/>
            </w:tcBorders>
            <w:shd w:val="clear" w:color="auto" w:fill="auto"/>
            <w:vAlign w:val="center"/>
            <w:hideMark/>
          </w:tcPr>
          <w:p w14:paraId="4B532C18" w14:textId="77777777" w:rsidR="00026236" w:rsidRPr="00026236" w:rsidRDefault="00026236" w:rsidP="00026236">
            <w:pPr>
              <w:spacing w:after="0" w:line="240" w:lineRule="auto"/>
              <w:rPr>
                <w:rFonts w:ascii="Arial" w:eastAsia="Times New Roman" w:hAnsi="Arial" w:cs="Arial"/>
                <w:lang w:eastAsia="en-GB"/>
              </w:rPr>
            </w:pPr>
            <w:r w:rsidRPr="00026236">
              <w:rPr>
                <w:rFonts w:ascii="Arial" w:eastAsia="Times New Roman" w:hAnsi="Arial" w:cs="Arial"/>
                <w:lang w:eastAsia="en-GB"/>
              </w:rPr>
              <w:t>TRAC-adjusted operating surplus/(deficit) per audited financial statements</w:t>
            </w:r>
          </w:p>
        </w:tc>
        <w:tc>
          <w:tcPr>
            <w:tcW w:w="1200" w:type="dxa"/>
            <w:tcBorders>
              <w:top w:val="nil"/>
              <w:left w:val="nil"/>
              <w:bottom w:val="single" w:sz="4" w:space="0" w:color="auto"/>
              <w:right w:val="single" w:sz="4" w:space="0" w:color="auto"/>
            </w:tcBorders>
            <w:shd w:val="clear" w:color="auto" w:fill="auto"/>
            <w:vAlign w:val="center"/>
            <w:hideMark/>
          </w:tcPr>
          <w:p w14:paraId="50CF80EA" w14:textId="77777777" w:rsidR="00026236" w:rsidRPr="00026236" w:rsidRDefault="00026236" w:rsidP="00026236">
            <w:pPr>
              <w:spacing w:after="0" w:line="240" w:lineRule="auto"/>
              <w:jc w:val="right"/>
              <w:rPr>
                <w:rFonts w:ascii="Arial" w:eastAsia="Times New Roman" w:hAnsi="Arial" w:cs="Arial"/>
                <w:lang w:eastAsia="en-GB"/>
              </w:rPr>
            </w:pPr>
            <w:r w:rsidRPr="00026236">
              <w:rPr>
                <w:rFonts w:ascii="Arial" w:eastAsia="Times New Roman" w:hAnsi="Arial" w:cs="Arial"/>
                <w:lang w:eastAsia="en-GB"/>
              </w:rPr>
              <w:t>1,775</w:t>
            </w:r>
          </w:p>
        </w:tc>
      </w:tr>
      <w:tr w:rsidR="00026236" w:rsidRPr="00026236" w14:paraId="687737D9" w14:textId="77777777" w:rsidTr="00026236">
        <w:trPr>
          <w:trHeight w:val="450"/>
        </w:trPr>
        <w:tc>
          <w:tcPr>
            <w:tcW w:w="8740" w:type="dxa"/>
            <w:tcBorders>
              <w:top w:val="nil"/>
              <w:left w:val="single" w:sz="4" w:space="0" w:color="auto"/>
              <w:bottom w:val="nil"/>
              <w:right w:val="nil"/>
            </w:tcBorders>
            <w:shd w:val="clear" w:color="auto" w:fill="auto"/>
            <w:vAlign w:val="center"/>
            <w:hideMark/>
          </w:tcPr>
          <w:p w14:paraId="3E66455D" w14:textId="77777777" w:rsidR="00026236" w:rsidRPr="00026236" w:rsidRDefault="00026236" w:rsidP="00026236">
            <w:pPr>
              <w:spacing w:after="0" w:line="240" w:lineRule="auto"/>
              <w:rPr>
                <w:rFonts w:ascii="Arial" w:eastAsia="Times New Roman" w:hAnsi="Arial" w:cs="Arial"/>
                <w:lang w:eastAsia="en-GB"/>
              </w:rPr>
            </w:pPr>
            <w:r w:rsidRPr="00026236">
              <w:rPr>
                <w:rFonts w:ascii="Arial" w:eastAsia="Times New Roman" w:hAnsi="Arial" w:cs="Arial"/>
                <w:lang w:eastAsia="en-GB"/>
              </w:rPr>
              <w:t>Sustainability adjustment (EBITDA for MSI)</w:t>
            </w:r>
          </w:p>
        </w:tc>
        <w:tc>
          <w:tcPr>
            <w:tcW w:w="1200" w:type="dxa"/>
            <w:tcBorders>
              <w:top w:val="nil"/>
              <w:left w:val="nil"/>
              <w:bottom w:val="nil"/>
              <w:right w:val="single" w:sz="4" w:space="0" w:color="auto"/>
            </w:tcBorders>
            <w:shd w:val="clear" w:color="auto" w:fill="auto"/>
            <w:vAlign w:val="center"/>
            <w:hideMark/>
          </w:tcPr>
          <w:p w14:paraId="747FDE11" w14:textId="77777777" w:rsidR="00026236" w:rsidRPr="00026236" w:rsidRDefault="00026236" w:rsidP="00026236">
            <w:pPr>
              <w:spacing w:after="0" w:line="240" w:lineRule="auto"/>
              <w:jc w:val="right"/>
              <w:rPr>
                <w:rFonts w:ascii="Arial" w:eastAsia="Times New Roman" w:hAnsi="Arial" w:cs="Arial"/>
                <w:lang w:eastAsia="en-GB"/>
              </w:rPr>
            </w:pPr>
            <w:r w:rsidRPr="00026236">
              <w:rPr>
                <w:rFonts w:ascii="Arial" w:eastAsia="Times New Roman" w:hAnsi="Arial" w:cs="Arial"/>
                <w:lang w:eastAsia="en-GB"/>
              </w:rPr>
              <w:t>3,222</w:t>
            </w:r>
          </w:p>
        </w:tc>
      </w:tr>
      <w:tr w:rsidR="00026236" w:rsidRPr="00026236" w14:paraId="0292DE4D" w14:textId="77777777" w:rsidTr="00026236">
        <w:trPr>
          <w:trHeight w:val="450"/>
        </w:trPr>
        <w:tc>
          <w:tcPr>
            <w:tcW w:w="8740" w:type="dxa"/>
            <w:tcBorders>
              <w:top w:val="single" w:sz="4" w:space="0" w:color="auto"/>
              <w:left w:val="single" w:sz="4" w:space="0" w:color="auto"/>
              <w:bottom w:val="single" w:sz="4" w:space="0" w:color="auto"/>
              <w:right w:val="nil"/>
            </w:tcBorders>
            <w:shd w:val="clear" w:color="auto" w:fill="auto"/>
            <w:vAlign w:val="center"/>
            <w:hideMark/>
          </w:tcPr>
          <w:p w14:paraId="40A65B78" w14:textId="77777777" w:rsidR="00026236" w:rsidRPr="00026236" w:rsidRDefault="00026236" w:rsidP="00026236">
            <w:pPr>
              <w:spacing w:after="0" w:line="240" w:lineRule="auto"/>
              <w:rPr>
                <w:rFonts w:ascii="Arial" w:eastAsia="Times New Roman" w:hAnsi="Arial" w:cs="Arial"/>
                <w:lang w:eastAsia="en-GB"/>
              </w:rPr>
            </w:pPr>
            <w:r w:rsidRPr="00026236">
              <w:rPr>
                <w:rFonts w:ascii="Arial" w:eastAsia="Times New Roman" w:hAnsi="Arial" w:cs="Arial"/>
                <w:lang w:eastAsia="en-GB"/>
              </w:rPr>
              <w:t>Full economic cost (total expenditure plus the sustainability adjustment)</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490FEA0D" w14:textId="77777777" w:rsidR="00026236" w:rsidRPr="00026236" w:rsidRDefault="00026236" w:rsidP="00026236">
            <w:pPr>
              <w:spacing w:after="0" w:line="240" w:lineRule="auto"/>
              <w:jc w:val="right"/>
              <w:rPr>
                <w:rFonts w:ascii="Arial" w:eastAsia="Times New Roman" w:hAnsi="Arial" w:cs="Arial"/>
                <w:lang w:eastAsia="en-GB"/>
              </w:rPr>
            </w:pPr>
            <w:r w:rsidRPr="00026236">
              <w:rPr>
                <w:rFonts w:ascii="Arial" w:eastAsia="Times New Roman" w:hAnsi="Arial" w:cs="Arial"/>
                <w:lang w:eastAsia="en-GB"/>
              </w:rPr>
              <w:t>36,942</w:t>
            </w:r>
          </w:p>
        </w:tc>
      </w:tr>
      <w:tr w:rsidR="00026236" w:rsidRPr="00026236" w14:paraId="49B5A5FF" w14:textId="77777777" w:rsidTr="00026236">
        <w:trPr>
          <w:trHeight w:val="450"/>
        </w:trPr>
        <w:tc>
          <w:tcPr>
            <w:tcW w:w="8740" w:type="dxa"/>
            <w:tcBorders>
              <w:top w:val="nil"/>
              <w:left w:val="single" w:sz="4" w:space="0" w:color="auto"/>
              <w:bottom w:val="single" w:sz="4" w:space="0" w:color="auto"/>
              <w:right w:val="nil"/>
            </w:tcBorders>
            <w:shd w:val="clear" w:color="auto" w:fill="auto"/>
            <w:vAlign w:val="center"/>
            <w:hideMark/>
          </w:tcPr>
          <w:p w14:paraId="5766E0D3" w14:textId="1D9F01E7" w:rsidR="00026236" w:rsidRPr="00026236" w:rsidRDefault="00026236" w:rsidP="00026236">
            <w:pPr>
              <w:spacing w:after="0" w:line="240" w:lineRule="auto"/>
              <w:rPr>
                <w:rFonts w:ascii="Arial" w:eastAsia="Times New Roman" w:hAnsi="Arial" w:cs="Arial"/>
                <w:lang w:eastAsia="en-GB"/>
              </w:rPr>
            </w:pPr>
            <w:r w:rsidRPr="00026236">
              <w:rPr>
                <w:rFonts w:ascii="Arial" w:eastAsia="Times New Roman" w:hAnsi="Arial" w:cs="Arial"/>
                <w:lang w:eastAsia="en-GB"/>
              </w:rPr>
              <w:t>TRAC surplus/</w:t>
            </w:r>
            <w:r w:rsidR="00362766">
              <w:rPr>
                <w:rFonts w:ascii="Arial" w:eastAsia="Times New Roman" w:hAnsi="Arial" w:cs="Arial"/>
                <w:lang w:eastAsia="en-GB"/>
              </w:rPr>
              <w:t>(</w:t>
            </w:r>
            <w:r w:rsidRPr="00026236">
              <w:rPr>
                <w:rFonts w:ascii="Arial" w:eastAsia="Times New Roman" w:hAnsi="Arial" w:cs="Arial"/>
                <w:lang w:eastAsia="en-GB"/>
              </w:rPr>
              <w:t>deficit</w:t>
            </w:r>
            <w:r w:rsidR="00362766">
              <w:rPr>
                <w:rFonts w:ascii="Arial" w:eastAsia="Times New Roman" w:hAnsi="Arial" w:cs="Arial"/>
                <w:lang w:eastAsia="en-GB"/>
              </w:rPr>
              <w:t>)</w:t>
            </w:r>
          </w:p>
        </w:tc>
        <w:tc>
          <w:tcPr>
            <w:tcW w:w="1200" w:type="dxa"/>
            <w:tcBorders>
              <w:top w:val="nil"/>
              <w:left w:val="nil"/>
              <w:bottom w:val="single" w:sz="4" w:space="0" w:color="auto"/>
              <w:right w:val="single" w:sz="4" w:space="0" w:color="auto"/>
            </w:tcBorders>
            <w:shd w:val="clear" w:color="auto" w:fill="auto"/>
            <w:vAlign w:val="center"/>
            <w:hideMark/>
          </w:tcPr>
          <w:p w14:paraId="20CBE8FB" w14:textId="77777777" w:rsidR="00026236" w:rsidRPr="00026236" w:rsidRDefault="00026236" w:rsidP="00026236">
            <w:pPr>
              <w:spacing w:after="0" w:line="240" w:lineRule="auto"/>
              <w:jc w:val="right"/>
              <w:rPr>
                <w:rFonts w:ascii="Arial" w:eastAsia="Times New Roman" w:hAnsi="Arial" w:cs="Arial"/>
                <w:lang w:eastAsia="en-GB"/>
              </w:rPr>
            </w:pPr>
            <w:r w:rsidRPr="00026236">
              <w:rPr>
                <w:rFonts w:ascii="Arial" w:eastAsia="Times New Roman" w:hAnsi="Arial" w:cs="Arial"/>
                <w:color w:val="000000"/>
                <w:lang w:eastAsia="en-GB"/>
              </w:rPr>
              <w:t>(1,448)</w:t>
            </w:r>
          </w:p>
        </w:tc>
      </w:tr>
    </w:tbl>
    <w:p w14:paraId="1D491793" w14:textId="181A1EA6" w:rsidR="00447B86" w:rsidRDefault="00447B86" w:rsidP="00447B86"/>
    <w:p w14:paraId="0621B728" w14:textId="3399A648" w:rsidR="00447B86" w:rsidRDefault="00447B86" w:rsidP="009D4FC2">
      <w:pPr>
        <w:pStyle w:val="Heading4"/>
      </w:pPr>
      <w:r w:rsidRPr="00530261">
        <w:t>Notes to Table 3</w:t>
      </w:r>
    </w:p>
    <w:p w14:paraId="3FA8B247" w14:textId="73FB1943" w:rsidR="001739A2" w:rsidRDefault="001739A2" w:rsidP="001739A2">
      <w:pPr>
        <w:pStyle w:val="Numberedtext1"/>
        <w:numPr>
          <w:ilvl w:val="0"/>
          <w:numId w:val="24"/>
        </w:numPr>
      </w:pPr>
      <w:r>
        <w:t xml:space="preserve">The income and expenditure lines as reported in the financial statements are adjusted, where appropriate, in respect of pension costs, gains or losses on disposal of fixed assets, gains or losses on investments, share of surpluses or deficits in joint ventures and associates, taxation charges or credits and non-controlling interests, in line with the TRAC guidance for </w:t>
      </w:r>
      <w:r w:rsidR="00E95D8D">
        <w:t>2018-19</w:t>
      </w:r>
      <w:r>
        <w:t xml:space="preserve"> – </w:t>
      </w:r>
      <w:r w:rsidRPr="00471973">
        <w:t>Version 2.</w:t>
      </w:r>
      <w:r w:rsidR="00424AF5" w:rsidRPr="00471973">
        <w:t>4</w:t>
      </w:r>
      <w:r w:rsidRPr="00471973">
        <w:t xml:space="preserve"> (</w:t>
      </w:r>
      <w:r w:rsidR="00424AF5" w:rsidRPr="00471973">
        <w:t>July</w:t>
      </w:r>
      <w:r w:rsidRPr="00471973">
        <w:t xml:space="preserve"> 201</w:t>
      </w:r>
      <w:r w:rsidR="00424AF5" w:rsidRPr="00471973">
        <w:t>9</w:t>
      </w:r>
      <w:r>
        <w:t>) and Annual TRAC return template at Annex 4.1a</w:t>
      </w:r>
      <w:r w:rsidR="002E1E81">
        <w:t>.</w:t>
      </w:r>
      <w:r>
        <w:rPr>
          <w:rStyle w:val="FootnoteReference"/>
        </w:rPr>
        <w:footnoteReference w:id="9"/>
      </w:r>
    </w:p>
    <w:p w14:paraId="45CC2995" w14:textId="030504A6" w:rsidR="001739A2" w:rsidRDefault="001739A2" w:rsidP="001739A2">
      <w:pPr>
        <w:pStyle w:val="Numberedtext1"/>
        <w:numPr>
          <w:ilvl w:val="0"/>
          <w:numId w:val="24"/>
        </w:numPr>
      </w:pPr>
      <w:r>
        <w:t>The sustainability adjustment is defined as ‘earnings before interest, tax, depreciation and amortisation’</w:t>
      </w:r>
      <w:r w:rsidR="00EC1CCA">
        <w:t xml:space="preserve"> (EBITDA)</w:t>
      </w:r>
      <w:r w:rsidR="00FE3E9D">
        <w:t>,</w:t>
      </w:r>
      <w:r>
        <w:t xml:space="preserve"> adjusted as defined in the TRAC guidance requirements (section 3.2.4 and template at Annex 3.2a) to provide the ‘margin for sustainability and investment’ (‘EBITDA for MSI’)</w:t>
      </w:r>
      <w:r w:rsidR="00FE3E9D">
        <w:t>.</w:t>
      </w:r>
      <w:r>
        <w:rPr>
          <w:rStyle w:val="FootnoteReference"/>
        </w:rPr>
        <w:footnoteReference w:id="10"/>
      </w:r>
    </w:p>
    <w:p w14:paraId="0387B3F2" w14:textId="77777777" w:rsidR="001739A2" w:rsidRPr="001739A2" w:rsidRDefault="001739A2" w:rsidP="001739A2">
      <w:pPr>
        <w:pStyle w:val="Numberedtext1"/>
        <w:numPr>
          <w:ilvl w:val="0"/>
          <w:numId w:val="24"/>
        </w:numPr>
        <w:rPr>
          <w:b/>
          <w:color w:val="002554"/>
          <w:sz w:val="24"/>
        </w:rPr>
      </w:pPr>
      <w:r>
        <w:t>Full economic cost is total expenditure derived from the financial statements, plus the sustainability adjustment.</w:t>
      </w:r>
    </w:p>
    <w:p w14:paraId="288CE137" w14:textId="70F1B3B2" w:rsidR="001739A2" w:rsidRPr="001739A2" w:rsidRDefault="001739A2" w:rsidP="001739A2">
      <w:pPr>
        <w:pStyle w:val="Numberedtext1"/>
        <w:numPr>
          <w:ilvl w:val="0"/>
          <w:numId w:val="24"/>
        </w:numPr>
        <w:rPr>
          <w:b/>
          <w:color w:val="002554"/>
          <w:sz w:val="24"/>
        </w:rPr>
      </w:pPr>
      <w:r>
        <w:t>TRAC surplus/(deficit) is the difference between total income and the full economic costs.</w:t>
      </w:r>
    </w:p>
    <w:p w14:paraId="3C3A7E22" w14:textId="77777777" w:rsidR="0031138E" w:rsidRDefault="0031138E" w:rsidP="00447B86">
      <w:pPr>
        <w:sectPr w:rsidR="0031138E" w:rsidSect="008B0C6B">
          <w:pgSz w:w="11906" w:h="16838" w:code="9"/>
          <w:pgMar w:top="1134" w:right="1134" w:bottom="1134" w:left="1134" w:header="454" w:footer="454" w:gutter="0"/>
          <w:cols w:space="708"/>
          <w:titlePg/>
          <w:docGrid w:linePitch="360"/>
        </w:sectPr>
      </w:pPr>
    </w:p>
    <w:p w14:paraId="2B05AA8E" w14:textId="77777777" w:rsidR="00141A50" w:rsidRPr="00D35952" w:rsidRDefault="0031138E" w:rsidP="00D35952">
      <w:pPr>
        <w:pStyle w:val="Heading1"/>
      </w:pPr>
      <w:bookmarkStart w:id="9" w:name="_Toc42783354"/>
      <w:r w:rsidRPr="00D35952">
        <w:lastRenderedPageBreak/>
        <w:t>Annex B: UK sector data summary</w:t>
      </w:r>
      <w:bookmarkEnd w:id="9"/>
    </w:p>
    <w:p w14:paraId="051857E4" w14:textId="77777777" w:rsidR="00CF7888" w:rsidRDefault="0031138E" w:rsidP="00CF7888">
      <w:pPr>
        <w:pStyle w:val="Heading3"/>
      </w:pPr>
      <w:bookmarkStart w:id="10" w:name="_Toc42783355"/>
      <w:r w:rsidRPr="009028F3">
        <w:t>Table 4: Transparent Approach to Costing (TRAC) income and full economic costs by activity</w:t>
      </w:r>
      <w:r w:rsidR="004F233D" w:rsidRPr="004D1FDE">
        <w:t>,</w:t>
      </w:r>
      <w:r w:rsidRPr="004D1FDE">
        <w:t xml:space="preserve"> </w:t>
      </w:r>
      <w:r w:rsidR="00E95D8D">
        <w:t>2018-19</w:t>
      </w:r>
      <w:r w:rsidRPr="004D1FDE">
        <w:t xml:space="preserve"> (UK higher education institutions) (figures in £M)</w:t>
      </w:r>
      <w:bookmarkEnd w:id="10"/>
    </w:p>
    <w:tbl>
      <w:tblPr>
        <w:tblW w:w="14540" w:type="dxa"/>
        <w:tblLook w:val="04A0" w:firstRow="1" w:lastRow="0" w:firstColumn="1" w:lastColumn="0" w:noHBand="0" w:noVBand="1"/>
      </w:tblPr>
      <w:tblGrid>
        <w:gridCol w:w="4820"/>
        <w:gridCol w:w="1620"/>
        <w:gridCol w:w="1620"/>
        <w:gridCol w:w="1620"/>
        <w:gridCol w:w="1620"/>
        <w:gridCol w:w="1620"/>
        <w:gridCol w:w="1620"/>
      </w:tblGrid>
      <w:tr w:rsidR="009B5CB2" w:rsidRPr="009B5CB2" w14:paraId="13CAEB6D" w14:textId="77777777" w:rsidTr="00097881">
        <w:trPr>
          <w:trHeight w:val="1028"/>
        </w:trPr>
        <w:tc>
          <w:tcPr>
            <w:tcW w:w="4820" w:type="dxa"/>
            <w:tcBorders>
              <w:top w:val="single" w:sz="4" w:space="0" w:color="auto"/>
              <w:left w:val="single" w:sz="4" w:space="0" w:color="auto"/>
              <w:bottom w:val="single" w:sz="4" w:space="0" w:color="auto"/>
              <w:right w:val="nil"/>
            </w:tcBorders>
            <w:shd w:val="clear" w:color="000000" w:fill="002554"/>
            <w:vAlign w:val="center"/>
            <w:hideMark/>
          </w:tcPr>
          <w:p w14:paraId="11F07C9B" w14:textId="77777777" w:rsidR="009B5CB2" w:rsidRPr="009B5CB2" w:rsidRDefault="009B5CB2" w:rsidP="009B5CB2">
            <w:pPr>
              <w:spacing w:after="0" w:line="240" w:lineRule="auto"/>
              <w:rPr>
                <w:rFonts w:ascii="Arial" w:eastAsia="Times New Roman" w:hAnsi="Arial" w:cs="Arial"/>
                <w:b/>
                <w:bCs/>
                <w:color w:val="FFFFFF"/>
                <w:lang w:eastAsia="en-GB"/>
              </w:rPr>
            </w:pPr>
            <w:r w:rsidRPr="009B5CB2">
              <w:rPr>
                <w:rFonts w:ascii="Arial" w:eastAsia="Times New Roman" w:hAnsi="Arial" w:cs="Arial"/>
                <w:b/>
                <w:bCs/>
                <w:color w:val="FFFFFF"/>
                <w:lang w:eastAsia="en-GB"/>
              </w:rPr>
              <w:t> </w:t>
            </w:r>
          </w:p>
        </w:tc>
        <w:tc>
          <w:tcPr>
            <w:tcW w:w="1620" w:type="dxa"/>
            <w:tcBorders>
              <w:top w:val="single" w:sz="4" w:space="0" w:color="auto"/>
              <w:left w:val="nil"/>
              <w:bottom w:val="nil"/>
              <w:right w:val="nil"/>
            </w:tcBorders>
            <w:shd w:val="clear" w:color="000000" w:fill="002554"/>
            <w:vAlign w:val="center"/>
            <w:hideMark/>
          </w:tcPr>
          <w:p w14:paraId="51E8F151" w14:textId="77777777" w:rsidR="009B5CB2" w:rsidRPr="009B5CB2" w:rsidRDefault="009B5CB2" w:rsidP="009B5CB2">
            <w:pPr>
              <w:spacing w:after="0" w:line="240" w:lineRule="auto"/>
              <w:jc w:val="right"/>
              <w:rPr>
                <w:rFonts w:ascii="Arial" w:eastAsia="Times New Roman" w:hAnsi="Arial" w:cs="Arial"/>
                <w:b/>
                <w:bCs/>
                <w:color w:val="FFFFFF"/>
                <w:lang w:eastAsia="en-GB"/>
              </w:rPr>
            </w:pPr>
            <w:r w:rsidRPr="009B5CB2">
              <w:rPr>
                <w:rFonts w:ascii="Arial" w:eastAsia="Times New Roman" w:hAnsi="Arial" w:cs="Arial"/>
                <w:b/>
                <w:bCs/>
                <w:color w:val="FFFFFF"/>
                <w:lang w:eastAsia="en-GB"/>
              </w:rPr>
              <w:t xml:space="preserve"> Publicly funded teaching</w:t>
            </w:r>
          </w:p>
        </w:tc>
        <w:tc>
          <w:tcPr>
            <w:tcW w:w="1620" w:type="dxa"/>
            <w:tcBorders>
              <w:top w:val="single" w:sz="4" w:space="0" w:color="auto"/>
              <w:left w:val="nil"/>
              <w:bottom w:val="nil"/>
              <w:right w:val="nil"/>
            </w:tcBorders>
            <w:shd w:val="clear" w:color="000000" w:fill="002554"/>
            <w:vAlign w:val="center"/>
            <w:hideMark/>
          </w:tcPr>
          <w:p w14:paraId="707E944D" w14:textId="77777777" w:rsidR="009B5CB2" w:rsidRPr="009B5CB2" w:rsidRDefault="009B5CB2" w:rsidP="009B5CB2">
            <w:pPr>
              <w:spacing w:after="0" w:line="240" w:lineRule="auto"/>
              <w:jc w:val="right"/>
              <w:rPr>
                <w:rFonts w:ascii="Arial" w:eastAsia="Times New Roman" w:hAnsi="Arial" w:cs="Arial"/>
                <w:b/>
                <w:bCs/>
                <w:color w:val="FFFFFF"/>
                <w:lang w:eastAsia="en-GB"/>
              </w:rPr>
            </w:pPr>
            <w:r w:rsidRPr="009B5CB2">
              <w:rPr>
                <w:rFonts w:ascii="Arial" w:eastAsia="Times New Roman" w:hAnsi="Arial" w:cs="Arial"/>
                <w:b/>
                <w:bCs/>
                <w:color w:val="FFFFFF"/>
                <w:lang w:eastAsia="en-GB"/>
              </w:rPr>
              <w:t xml:space="preserve"> Non-publicly funded teaching</w:t>
            </w:r>
          </w:p>
        </w:tc>
        <w:tc>
          <w:tcPr>
            <w:tcW w:w="1620" w:type="dxa"/>
            <w:tcBorders>
              <w:top w:val="single" w:sz="4" w:space="0" w:color="auto"/>
              <w:left w:val="nil"/>
              <w:bottom w:val="nil"/>
              <w:right w:val="nil"/>
            </w:tcBorders>
            <w:shd w:val="clear" w:color="000000" w:fill="002554"/>
            <w:vAlign w:val="center"/>
            <w:hideMark/>
          </w:tcPr>
          <w:p w14:paraId="430C530C" w14:textId="77777777" w:rsidR="009B5CB2" w:rsidRPr="009B5CB2" w:rsidRDefault="009B5CB2" w:rsidP="009B5CB2">
            <w:pPr>
              <w:spacing w:after="0" w:line="240" w:lineRule="auto"/>
              <w:jc w:val="right"/>
              <w:rPr>
                <w:rFonts w:ascii="Arial" w:eastAsia="Times New Roman" w:hAnsi="Arial" w:cs="Arial"/>
                <w:b/>
                <w:bCs/>
                <w:color w:val="FFFFFF"/>
                <w:lang w:eastAsia="en-GB"/>
              </w:rPr>
            </w:pPr>
            <w:r w:rsidRPr="009B5CB2">
              <w:rPr>
                <w:rFonts w:ascii="Arial" w:eastAsia="Times New Roman" w:hAnsi="Arial" w:cs="Arial"/>
                <w:b/>
                <w:bCs/>
                <w:color w:val="FFFFFF"/>
                <w:lang w:eastAsia="en-GB"/>
              </w:rPr>
              <w:t>Research</w:t>
            </w:r>
          </w:p>
        </w:tc>
        <w:tc>
          <w:tcPr>
            <w:tcW w:w="1620" w:type="dxa"/>
            <w:tcBorders>
              <w:top w:val="single" w:sz="4" w:space="0" w:color="auto"/>
              <w:left w:val="nil"/>
              <w:bottom w:val="nil"/>
              <w:right w:val="nil"/>
            </w:tcBorders>
            <w:shd w:val="clear" w:color="000000" w:fill="002554"/>
            <w:vAlign w:val="center"/>
            <w:hideMark/>
          </w:tcPr>
          <w:p w14:paraId="4ADABD9D" w14:textId="77777777" w:rsidR="009B5CB2" w:rsidRPr="009B5CB2" w:rsidRDefault="009B5CB2" w:rsidP="009B5CB2">
            <w:pPr>
              <w:spacing w:after="0" w:line="240" w:lineRule="auto"/>
              <w:jc w:val="right"/>
              <w:rPr>
                <w:rFonts w:ascii="Arial" w:eastAsia="Times New Roman" w:hAnsi="Arial" w:cs="Arial"/>
                <w:b/>
                <w:bCs/>
                <w:color w:val="FFFFFF"/>
                <w:lang w:eastAsia="en-GB"/>
              </w:rPr>
            </w:pPr>
            <w:r w:rsidRPr="009B5CB2">
              <w:rPr>
                <w:rFonts w:ascii="Arial" w:eastAsia="Times New Roman" w:hAnsi="Arial" w:cs="Arial"/>
                <w:b/>
                <w:bCs/>
                <w:color w:val="FFFFFF"/>
                <w:lang w:eastAsia="en-GB"/>
              </w:rPr>
              <w:t>Other (income- generating)</w:t>
            </w:r>
          </w:p>
        </w:tc>
        <w:tc>
          <w:tcPr>
            <w:tcW w:w="1620" w:type="dxa"/>
            <w:tcBorders>
              <w:top w:val="single" w:sz="4" w:space="0" w:color="auto"/>
              <w:left w:val="nil"/>
              <w:bottom w:val="nil"/>
              <w:right w:val="nil"/>
            </w:tcBorders>
            <w:shd w:val="clear" w:color="000000" w:fill="002554"/>
            <w:vAlign w:val="center"/>
            <w:hideMark/>
          </w:tcPr>
          <w:p w14:paraId="44A90A19" w14:textId="77777777" w:rsidR="009B5CB2" w:rsidRPr="009B5CB2" w:rsidRDefault="009B5CB2" w:rsidP="009B5CB2">
            <w:pPr>
              <w:spacing w:after="0" w:line="240" w:lineRule="auto"/>
              <w:jc w:val="right"/>
              <w:rPr>
                <w:rFonts w:ascii="Arial" w:eastAsia="Times New Roman" w:hAnsi="Arial" w:cs="Arial"/>
                <w:b/>
                <w:bCs/>
                <w:color w:val="FFFFFF"/>
                <w:lang w:eastAsia="en-GB"/>
              </w:rPr>
            </w:pPr>
            <w:r w:rsidRPr="009B5CB2">
              <w:rPr>
                <w:rFonts w:ascii="Arial" w:eastAsia="Times New Roman" w:hAnsi="Arial" w:cs="Arial"/>
                <w:b/>
                <w:bCs/>
                <w:color w:val="FFFFFF"/>
                <w:lang w:eastAsia="en-GB"/>
              </w:rPr>
              <w:t xml:space="preserve">Other </w:t>
            </w:r>
            <w:r w:rsidRPr="009B5CB2">
              <w:rPr>
                <w:rFonts w:ascii="Arial" w:eastAsia="Times New Roman" w:hAnsi="Arial" w:cs="Arial"/>
                <w:b/>
                <w:bCs/>
                <w:color w:val="FFFFFF"/>
                <w:lang w:eastAsia="en-GB"/>
              </w:rPr>
              <w:br/>
              <w:t>(non-commercial)</w:t>
            </w:r>
          </w:p>
        </w:tc>
        <w:tc>
          <w:tcPr>
            <w:tcW w:w="1620" w:type="dxa"/>
            <w:tcBorders>
              <w:top w:val="single" w:sz="4" w:space="0" w:color="auto"/>
              <w:left w:val="nil"/>
              <w:bottom w:val="nil"/>
              <w:right w:val="single" w:sz="4" w:space="0" w:color="auto"/>
            </w:tcBorders>
            <w:shd w:val="clear" w:color="000000" w:fill="002554"/>
            <w:vAlign w:val="center"/>
            <w:hideMark/>
          </w:tcPr>
          <w:p w14:paraId="23F547A9" w14:textId="77777777" w:rsidR="009B5CB2" w:rsidRPr="009B5CB2" w:rsidRDefault="009B5CB2" w:rsidP="009B5CB2">
            <w:pPr>
              <w:spacing w:after="0" w:line="240" w:lineRule="auto"/>
              <w:jc w:val="right"/>
              <w:rPr>
                <w:rFonts w:ascii="Arial" w:eastAsia="Times New Roman" w:hAnsi="Arial" w:cs="Arial"/>
                <w:b/>
                <w:bCs/>
                <w:color w:val="FFFFFF"/>
                <w:lang w:eastAsia="en-GB"/>
              </w:rPr>
            </w:pPr>
            <w:r w:rsidRPr="009B5CB2">
              <w:rPr>
                <w:rFonts w:ascii="Arial" w:eastAsia="Times New Roman" w:hAnsi="Arial" w:cs="Arial"/>
                <w:b/>
                <w:bCs/>
                <w:color w:val="FFFFFF"/>
                <w:lang w:eastAsia="en-GB"/>
              </w:rPr>
              <w:t>Total</w:t>
            </w:r>
          </w:p>
        </w:tc>
      </w:tr>
      <w:tr w:rsidR="009B5CB2" w:rsidRPr="009B5CB2" w14:paraId="5BA8235F" w14:textId="77777777" w:rsidTr="009B5CB2">
        <w:trPr>
          <w:trHeight w:val="450"/>
        </w:trPr>
        <w:tc>
          <w:tcPr>
            <w:tcW w:w="4820" w:type="dxa"/>
            <w:tcBorders>
              <w:top w:val="nil"/>
              <w:left w:val="single" w:sz="4" w:space="0" w:color="auto"/>
              <w:bottom w:val="nil"/>
              <w:right w:val="nil"/>
            </w:tcBorders>
            <w:shd w:val="clear" w:color="auto" w:fill="auto"/>
            <w:vAlign w:val="center"/>
            <w:hideMark/>
          </w:tcPr>
          <w:p w14:paraId="6AB65D95" w14:textId="77777777" w:rsidR="009B5CB2" w:rsidRPr="009B5CB2" w:rsidRDefault="009B5CB2" w:rsidP="009B5CB2">
            <w:pPr>
              <w:spacing w:after="0" w:line="240" w:lineRule="auto"/>
              <w:rPr>
                <w:rFonts w:ascii="Arial" w:eastAsia="Times New Roman" w:hAnsi="Arial" w:cs="Arial"/>
                <w:lang w:eastAsia="en-GB"/>
              </w:rPr>
            </w:pPr>
            <w:r w:rsidRPr="009B5CB2">
              <w:rPr>
                <w:rFonts w:ascii="Arial" w:eastAsia="Times New Roman" w:hAnsi="Arial" w:cs="Arial"/>
                <w:lang w:eastAsia="en-GB"/>
              </w:rPr>
              <w:t>Income</w:t>
            </w:r>
          </w:p>
        </w:tc>
        <w:tc>
          <w:tcPr>
            <w:tcW w:w="1620" w:type="dxa"/>
            <w:tcBorders>
              <w:top w:val="single" w:sz="4" w:space="0" w:color="auto"/>
              <w:left w:val="nil"/>
              <w:bottom w:val="nil"/>
              <w:right w:val="nil"/>
            </w:tcBorders>
            <w:shd w:val="clear" w:color="auto" w:fill="auto"/>
            <w:vAlign w:val="center"/>
            <w:hideMark/>
          </w:tcPr>
          <w:p w14:paraId="713104AD" w14:textId="77777777" w:rsidR="009B5CB2" w:rsidRPr="009B5CB2" w:rsidRDefault="009B5CB2" w:rsidP="009B5CB2">
            <w:pPr>
              <w:spacing w:after="0" w:line="240" w:lineRule="auto"/>
              <w:jc w:val="right"/>
              <w:rPr>
                <w:rFonts w:ascii="Arial" w:eastAsia="Times New Roman" w:hAnsi="Arial" w:cs="Arial"/>
                <w:lang w:eastAsia="en-GB"/>
              </w:rPr>
            </w:pPr>
            <w:r w:rsidRPr="009B5CB2">
              <w:rPr>
                <w:rFonts w:ascii="Arial" w:eastAsia="Times New Roman" w:hAnsi="Arial" w:cs="Arial"/>
                <w:lang w:eastAsia="en-GB"/>
              </w:rPr>
              <w:t>15,547</w:t>
            </w:r>
          </w:p>
        </w:tc>
        <w:tc>
          <w:tcPr>
            <w:tcW w:w="1620" w:type="dxa"/>
            <w:tcBorders>
              <w:top w:val="single" w:sz="4" w:space="0" w:color="auto"/>
              <w:left w:val="nil"/>
              <w:bottom w:val="nil"/>
              <w:right w:val="nil"/>
            </w:tcBorders>
            <w:shd w:val="clear" w:color="auto" w:fill="auto"/>
            <w:vAlign w:val="center"/>
            <w:hideMark/>
          </w:tcPr>
          <w:p w14:paraId="008D621A" w14:textId="77777777" w:rsidR="009B5CB2" w:rsidRPr="009B5CB2" w:rsidRDefault="009B5CB2" w:rsidP="009B5CB2">
            <w:pPr>
              <w:spacing w:after="0" w:line="240" w:lineRule="auto"/>
              <w:jc w:val="right"/>
              <w:rPr>
                <w:rFonts w:ascii="Arial" w:eastAsia="Times New Roman" w:hAnsi="Arial" w:cs="Arial"/>
                <w:lang w:eastAsia="en-GB"/>
              </w:rPr>
            </w:pPr>
            <w:r w:rsidRPr="009B5CB2">
              <w:rPr>
                <w:rFonts w:ascii="Arial" w:eastAsia="Times New Roman" w:hAnsi="Arial" w:cs="Arial"/>
                <w:lang w:eastAsia="en-GB"/>
              </w:rPr>
              <w:t>6,469</w:t>
            </w:r>
          </w:p>
        </w:tc>
        <w:tc>
          <w:tcPr>
            <w:tcW w:w="1620" w:type="dxa"/>
            <w:tcBorders>
              <w:top w:val="single" w:sz="4" w:space="0" w:color="auto"/>
              <w:left w:val="nil"/>
              <w:bottom w:val="nil"/>
              <w:right w:val="nil"/>
            </w:tcBorders>
            <w:shd w:val="clear" w:color="auto" w:fill="auto"/>
            <w:vAlign w:val="center"/>
            <w:hideMark/>
          </w:tcPr>
          <w:p w14:paraId="4AF93FA9" w14:textId="77777777" w:rsidR="009B5CB2" w:rsidRPr="009B5CB2" w:rsidRDefault="009B5CB2" w:rsidP="009B5CB2">
            <w:pPr>
              <w:spacing w:after="0" w:line="240" w:lineRule="auto"/>
              <w:jc w:val="right"/>
              <w:rPr>
                <w:rFonts w:ascii="Arial" w:eastAsia="Times New Roman" w:hAnsi="Arial" w:cs="Arial"/>
                <w:lang w:eastAsia="en-GB"/>
              </w:rPr>
            </w:pPr>
            <w:r w:rsidRPr="009B5CB2">
              <w:rPr>
                <w:rFonts w:ascii="Arial" w:eastAsia="Times New Roman" w:hAnsi="Arial" w:cs="Arial"/>
                <w:lang w:eastAsia="en-GB"/>
              </w:rPr>
              <w:t>10,714</w:t>
            </w:r>
          </w:p>
        </w:tc>
        <w:tc>
          <w:tcPr>
            <w:tcW w:w="1620" w:type="dxa"/>
            <w:tcBorders>
              <w:top w:val="single" w:sz="4" w:space="0" w:color="auto"/>
              <w:left w:val="nil"/>
              <w:bottom w:val="nil"/>
              <w:right w:val="nil"/>
            </w:tcBorders>
            <w:shd w:val="clear" w:color="auto" w:fill="auto"/>
            <w:vAlign w:val="center"/>
            <w:hideMark/>
          </w:tcPr>
          <w:p w14:paraId="570C036C" w14:textId="77777777" w:rsidR="009B5CB2" w:rsidRPr="009B5CB2" w:rsidRDefault="009B5CB2" w:rsidP="009B5CB2">
            <w:pPr>
              <w:spacing w:after="0" w:line="240" w:lineRule="auto"/>
              <w:jc w:val="right"/>
              <w:rPr>
                <w:rFonts w:ascii="Arial" w:eastAsia="Times New Roman" w:hAnsi="Arial" w:cs="Arial"/>
                <w:lang w:eastAsia="en-GB"/>
              </w:rPr>
            </w:pPr>
            <w:r w:rsidRPr="009B5CB2">
              <w:rPr>
                <w:rFonts w:ascii="Arial" w:eastAsia="Times New Roman" w:hAnsi="Arial" w:cs="Arial"/>
                <w:lang w:eastAsia="en-GB"/>
              </w:rPr>
              <w:t>6,938</w:t>
            </w:r>
          </w:p>
        </w:tc>
        <w:tc>
          <w:tcPr>
            <w:tcW w:w="1620" w:type="dxa"/>
            <w:tcBorders>
              <w:top w:val="single" w:sz="4" w:space="0" w:color="auto"/>
              <w:left w:val="nil"/>
              <w:bottom w:val="nil"/>
              <w:right w:val="nil"/>
            </w:tcBorders>
            <w:shd w:val="clear" w:color="auto" w:fill="auto"/>
            <w:vAlign w:val="center"/>
            <w:hideMark/>
          </w:tcPr>
          <w:p w14:paraId="02EC210D" w14:textId="77777777" w:rsidR="009B5CB2" w:rsidRPr="009B5CB2" w:rsidRDefault="009B5CB2" w:rsidP="009B5CB2">
            <w:pPr>
              <w:spacing w:after="0" w:line="240" w:lineRule="auto"/>
              <w:jc w:val="right"/>
              <w:rPr>
                <w:rFonts w:ascii="Arial" w:eastAsia="Times New Roman" w:hAnsi="Arial" w:cs="Arial"/>
                <w:lang w:eastAsia="en-GB"/>
              </w:rPr>
            </w:pPr>
            <w:r w:rsidRPr="009B5CB2">
              <w:rPr>
                <w:rFonts w:ascii="Arial" w:eastAsia="Times New Roman" w:hAnsi="Arial" w:cs="Arial"/>
                <w:lang w:eastAsia="en-GB"/>
              </w:rPr>
              <w:t>1,610</w:t>
            </w:r>
          </w:p>
        </w:tc>
        <w:tc>
          <w:tcPr>
            <w:tcW w:w="1620" w:type="dxa"/>
            <w:tcBorders>
              <w:top w:val="single" w:sz="4" w:space="0" w:color="auto"/>
              <w:left w:val="nil"/>
              <w:bottom w:val="nil"/>
              <w:right w:val="single" w:sz="4" w:space="0" w:color="auto"/>
            </w:tcBorders>
            <w:shd w:val="clear" w:color="auto" w:fill="auto"/>
            <w:vAlign w:val="center"/>
            <w:hideMark/>
          </w:tcPr>
          <w:p w14:paraId="37BCA8E5" w14:textId="77777777" w:rsidR="009B5CB2" w:rsidRPr="009B5CB2" w:rsidRDefault="009B5CB2" w:rsidP="009B5CB2">
            <w:pPr>
              <w:spacing w:after="0" w:line="240" w:lineRule="auto"/>
              <w:jc w:val="right"/>
              <w:rPr>
                <w:rFonts w:ascii="Arial" w:eastAsia="Times New Roman" w:hAnsi="Arial" w:cs="Arial"/>
                <w:lang w:eastAsia="en-GB"/>
              </w:rPr>
            </w:pPr>
            <w:r w:rsidRPr="009B5CB2">
              <w:rPr>
                <w:rFonts w:ascii="Arial" w:eastAsia="Times New Roman" w:hAnsi="Arial" w:cs="Arial"/>
                <w:lang w:eastAsia="en-GB"/>
              </w:rPr>
              <w:t>41,279</w:t>
            </w:r>
          </w:p>
        </w:tc>
      </w:tr>
      <w:tr w:rsidR="009B5CB2" w:rsidRPr="009B5CB2" w14:paraId="539E601B" w14:textId="77777777" w:rsidTr="009B5CB2">
        <w:trPr>
          <w:trHeight w:val="450"/>
        </w:trPr>
        <w:tc>
          <w:tcPr>
            <w:tcW w:w="4820" w:type="dxa"/>
            <w:tcBorders>
              <w:top w:val="nil"/>
              <w:left w:val="single" w:sz="4" w:space="0" w:color="auto"/>
              <w:bottom w:val="single" w:sz="4" w:space="0" w:color="auto"/>
              <w:right w:val="nil"/>
            </w:tcBorders>
            <w:shd w:val="clear" w:color="auto" w:fill="auto"/>
            <w:vAlign w:val="center"/>
            <w:hideMark/>
          </w:tcPr>
          <w:p w14:paraId="5C61DD9C" w14:textId="77777777" w:rsidR="009B5CB2" w:rsidRPr="009B5CB2" w:rsidRDefault="009B5CB2" w:rsidP="009B5CB2">
            <w:pPr>
              <w:spacing w:after="0" w:line="240" w:lineRule="auto"/>
              <w:rPr>
                <w:rFonts w:ascii="Arial" w:eastAsia="Times New Roman" w:hAnsi="Arial" w:cs="Arial"/>
                <w:lang w:eastAsia="en-GB"/>
              </w:rPr>
            </w:pPr>
            <w:r w:rsidRPr="009B5CB2">
              <w:rPr>
                <w:rFonts w:ascii="Arial" w:eastAsia="Times New Roman" w:hAnsi="Arial" w:cs="Arial"/>
                <w:lang w:eastAsia="en-GB"/>
              </w:rPr>
              <w:t>TRAC full economic costs</w:t>
            </w:r>
          </w:p>
        </w:tc>
        <w:tc>
          <w:tcPr>
            <w:tcW w:w="1620" w:type="dxa"/>
            <w:tcBorders>
              <w:top w:val="nil"/>
              <w:left w:val="nil"/>
              <w:bottom w:val="single" w:sz="4" w:space="0" w:color="auto"/>
              <w:right w:val="nil"/>
            </w:tcBorders>
            <w:shd w:val="clear" w:color="auto" w:fill="auto"/>
            <w:vAlign w:val="center"/>
            <w:hideMark/>
          </w:tcPr>
          <w:p w14:paraId="317F8B4E" w14:textId="77777777" w:rsidR="009B5CB2" w:rsidRPr="009B5CB2" w:rsidRDefault="009B5CB2" w:rsidP="009B5CB2">
            <w:pPr>
              <w:spacing w:after="0" w:line="240" w:lineRule="auto"/>
              <w:jc w:val="right"/>
              <w:rPr>
                <w:rFonts w:ascii="Arial" w:eastAsia="Times New Roman" w:hAnsi="Arial" w:cs="Arial"/>
                <w:lang w:eastAsia="en-GB"/>
              </w:rPr>
            </w:pPr>
            <w:r w:rsidRPr="009B5CB2">
              <w:rPr>
                <w:rFonts w:ascii="Arial" w:eastAsia="Times New Roman" w:hAnsi="Arial" w:cs="Arial"/>
                <w:lang w:eastAsia="en-GB"/>
              </w:rPr>
              <w:t>16,158</w:t>
            </w:r>
          </w:p>
        </w:tc>
        <w:tc>
          <w:tcPr>
            <w:tcW w:w="1620" w:type="dxa"/>
            <w:tcBorders>
              <w:top w:val="nil"/>
              <w:left w:val="nil"/>
              <w:bottom w:val="single" w:sz="4" w:space="0" w:color="auto"/>
              <w:right w:val="nil"/>
            </w:tcBorders>
            <w:shd w:val="clear" w:color="auto" w:fill="auto"/>
            <w:vAlign w:val="center"/>
            <w:hideMark/>
          </w:tcPr>
          <w:p w14:paraId="050FFCD1" w14:textId="77777777" w:rsidR="009B5CB2" w:rsidRPr="009B5CB2" w:rsidRDefault="009B5CB2" w:rsidP="009B5CB2">
            <w:pPr>
              <w:spacing w:after="0" w:line="240" w:lineRule="auto"/>
              <w:jc w:val="right"/>
              <w:rPr>
                <w:rFonts w:ascii="Arial" w:eastAsia="Times New Roman" w:hAnsi="Arial" w:cs="Arial"/>
                <w:lang w:eastAsia="en-GB"/>
              </w:rPr>
            </w:pPr>
            <w:r w:rsidRPr="009B5CB2">
              <w:rPr>
                <w:rFonts w:ascii="Arial" w:eastAsia="Times New Roman" w:hAnsi="Arial" w:cs="Arial"/>
                <w:lang w:eastAsia="en-GB"/>
              </w:rPr>
              <w:t>4,512</w:t>
            </w:r>
          </w:p>
        </w:tc>
        <w:tc>
          <w:tcPr>
            <w:tcW w:w="1620" w:type="dxa"/>
            <w:tcBorders>
              <w:top w:val="nil"/>
              <w:left w:val="nil"/>
              <w:bottom w:val="single" w:sz="4" w:space="0" w:color="auto"/>
              <w:right w:val="nil"/>
            </w:tcBorders>
            <w:shd w:val="clear" w:color="auto" w:fill="auto"/>
            <w:vAlign w:val="center"/>
            <w:hideMark/>
          </w:tcPr>
          <w:p w14:paraId="51628A5C" w14:textId="77777777" w:rsidR="009B5CB2" w:rsidRPr="009B5CB2" w:rsidRDefault="009B5CB2" w:rsidP="009B5CB2">
            <w:pPr>
              <w:spacing w:after="0" w:line="240" w:lineRule="auto"/>
              <w:jc w:val="right"/>
              <w:rPr>
                <w:rFonts w:ascii="Arial" w:eastAsia="Times New Roman" w:hAnsi="Arial" w:cs="Arial"/>
                <w:lang w:eastAsia="en-GB"/>
              </w:rPr>
            </w:pPr>
            <w:r w:rsidRPr="009B5CB2">
              <w:rPr>
                <w:rFonts w:ascii="Arial" w:eastAsia="Times New Roman" w:hAnsi="Arial" w:cs="Arial"/>
                <w:lang w:eastAsia="en-GB"/>
              </w:rPr>
              <w:t>15,166</w:t>
            </w:r>
          </w:p>
        </w:tc>
        <w:tc>
          <w:tcPr>
            <w:tcW w:w="1620" w:type="dxa"/>
            <w:tcBorders>
              <w:top w:val="nil"/>
              <w:left w:val="nil"/>
              <w:bottom w:val="single" w:sz="4" w:space="0" w:color="auto"/>
              <w:right w:val="nil"/>
            </w:tcBorders>
            <w:shd w:val="clear" w:color="auto" w:fill="auto"/>
            <w:vAlign w:val="center"/>
            <w:hideMark/>
          </w:tcPr>
          <w:p w14:paraId="4C62BA3F" w14:textId="77777777" w:rsidR="009B5CB2" w:rsidRPr="009B5CB2" w:rsidRDefault="009B5CB2" w:rsidP="009B5CB2">
            <w:pPr>
              <w:spacing w:after="0" w:line="240" w:lineRule="auto"/>
              <w:jc w:val="right"/>
              <w:rPr>
                <w:rFonts w:ascii="Arial" w:eastAsia="Times New Roman" w:hAnsi="Arial" w:cs="Arial"/>
                <w:lang w:eastAsia="en-GB"/>
              </w:rPr>
            </w:pPr>
            <w:r w:rsidRPr="009B5CB2">
              <w:rPr>
                <w:rFonts w:ascii="Arial" w:eastAsia="Times New Roman" w:hAnsi="Arial" w:cs="Arial"/>
                <w:lang w:eastAsia="en-GB"/>
              </w:rPr>
              <w:t>6,652</w:t>
            </w:r>
          </w:p>
        </w:tc>
        <w:tc>
          <w:tcPr>
            <w:tcW w:w="1620" w:type="dxa"/>
            <w:tcBorders>
              <w:top w:val="nil"/>
              <w:left w:val="nil"/>
              <w:bottom w:val="single" w:sz="4" w:space="0" w:color="auto"/>
              <w:right w:val="nil"/>
            </w:tcBorders>
            <w:shd w:val="clear" w:color="auto" w:fill="auto"/>
            <w:vAlign w:val="center"/>
            <w:hideMark/>
          </w:tcPr>
          <w:p w14:paraId="028FE007" w14:textId="77777777" w:rsidR="009B5CB2" w:rsidRPr="009B5CB2" w:rsidRDefault="009B5CB2" w:rsidP="009B5CB2">
            <w:pPr>
              <w:spacing w:after="0" w:line="240" w:lineRule="auto"/>
              <w:jc w:val="right"/>
              <w:rPr>
                <w:rFonts w:ascii="Arial" w:eastAsia="Times New Roman" w:hAnsi="Arial" w:cs="Arial"/>
                <w:lang w:eastAsia="en-GB"/>
              </w:rPr>
            </w:pPr>
            <w:r w:rsidRPr="009B5CB2">
              <w:rPr>
                <w:rFonts w:ascii="Arial" w:eastAsia="Times New Roman" w:hAnsi="Arial" w:cs="Arial"/>
                <w:lang w:eastAsia="en-GB"/>
              </w:rPr>
              <w:t>469</w:t>
            </w:r>
          </w:p>
        </w:tc>
        <w:tc>
          <w:tcPr>
            <w:tcW w:w="1620" w:type="dxa"/>
            <w:tcBorders>
              <w:top w:val="nil"/>
              <w:left w:val="nil"/>
              <w:bottom w:val="single" w:sz="4" w:space="0" w:color="auto"/>
              <w:right w:val="single" w:sz="4" w:space="0" w:color="auto"/>
            </w:tcBorders>
            <w:shd w:val="clear" w:color="auto" w:fill="auto"/>
            <w:vAlign w:val="center"/>
            <w:hideMark/>
          </w:tcPr>
          <w:p w14:paraId="6492178D" w14:textId="77777777" w:rsidR="009B5CB2" w:rsidRPr="009B5CB2" w:rsidRDefault="009B5CB2" w:rsidP="009B5CB2">
            <w:pPr>
              <w:spacing w:after="0" w:line="240" w:lineRule="auto"/>
              <w:jc w:val="right"/>
              <w:rPr>
                <w:rFonts w:ascii="Arial" w:eastAsia="Times New Roman" w:hAnsi="Arial" w:cs="Arial"/>
                <w:lang w:eastAsia="en-GB"/>
              </w:rPr>
            </w:pPr>
            <w:r w:rsidRPr="009B5CB2">
              <w:rPr>
                <w:rFonts w:ascii="Arial" w:eastAsia="Times New Roman" w:hAnsi="Arial" w:cs="Arial"/>
                <w:lang w:eastAsia="en-GB"/>
              </w:rPr>
              <w:t>42,956</w:t>
            </w:r>
          </w:p>
        </w:tc>
      </w:tr>
      <w:tr w:rsidR="009B5CB2" w:rsidRPr="009B5CB2" w14:paraId="4E05929A" w14:textId="77777777" w:rsidTr="009B5CB2">
        <w:trPr>
          <w:trHeight w:val="450"/>
        </w:trPr>
        <w:tc>
          <w:tcPr>
            <w:tcW w:w="4820" w:type="dxa"/>
            <w:tcBorders>
              <w:top w:val="nil"/>
              <w:left w:val="single" w:sz="4" w:space="0" w:color="auto"/>
              <w:bottom w:val="single" w:sz="4" w:space="0" w:color="auto"/>
              <w:right w:val="nil"/>
            </w:tcBorders>
            <w:shd w:val="clear" w:color="auto" w:fill="auto"/>
            <w:vAlign w:val="center"/>
            <w:hideMark/>
          </w:tcPr>
          <w:p w14:paraId="7DD9BB27" w14:textId="77777777" w:rsidR="009B5CB2" w:rsidRPr="009B5CB2" w:rsidRDefault="009B5CB2" w:rsidP="009B5CB2">
            <w:pPr>
              <w:spacing w:after="0" w:line="240" w:lineRule="auto"/>
              <w:rPr>
                <w:rFonts w:ascii="Arial" w:eastAsia="Times New Roman" w:hAnsi="Arial" w:cs="Arial"/>
                <w:lang w:eastAsia="en-GB"/>
              </w:rPr>
            </w:pPr>
            <w:r w:rsidRPr="009B5CB2">
              <w:rPr>
                <w:rFonts w:ascii="Arial" w:eastAsia="Times New Roman" w:hAnsi="Arial" w:cs="Arial"/>
                <w:lang w:eastAsia="en-GB"/>
              </w:rPr>
              <w:t>Surplus/(deficit)</w:t>
            </w:r>
          </w:p>
        </w:tc>
        <w:tc>
          <w:tcPr>
            <w:tcW w:w="1620" w:type="dxa"/>
            <w:tcBorders>
              <w:top w:val="nil"/>
              <w:left w:val="nil"/>
              <w:bottom w:val="single" w:sz="4" w:space="0" w:color="auto"/>
              <w:right w:val="nil"/>
            </w:tcBorders>
            <w:shd w:val="clear" w:color="auto" w:fill="auto"/>
            <w:vAlign w:val="center"/>
            <w:hideMark/>
          </w:tcPr>
          <w:p w14:paraId="24EDD516" w14:textId="77777777" w:rsidR="009B5CB2" w:rsidRPr="009B5CB2" w:rsidRDefault="009B5CB2" w:rsidP="009B5CB2">
            <w:pPr>
              <w:spacing w:after="0" w:line="240" w:lineRule="auto"/>
              <w:jc w:val="right"/>
              <w:rPr>
                <w:rFonts w:ascii="Arial" w:eastAsia="Times New Roman" w:hAnsi="Arial" w:cs="Arial"/>
                <w:lang w:eastAsia="en-GB"/>
              </w:rPr>
            </w:pPr>
            <w:r w:rsidRPr="009B5CB2">
              <w:rPr>
                <w:rFonts w:ascii="Arial" w:eastAsia="Times New Roman" w:hAnsi="Arial" w:cs="Arial"/>
                <w:color w:val="000000"/>
                <w:lang w:eastAsia="en-GB"/>
              </w:rPr>
              <w:t>(611)</w:t>
            </w:r>
          </w:p>
        </w:tc>
        <w:tc>
          <w:tcPr>
            <w:tcW w:w="1620" w:type="dxa"/>
            <w:tcBorders>
              <w:top w:val="nil"/>
              <w:left w:val="nil"/>
              <w:bottom w:val="single" w:sz="4" w:space="0" w:color="auto"/>
              <w:right w:val="nil"/>
            </w:tcBorders>
            <w:shd w:val="clear" w:color="auto" w:fill="auto"/>
            <w:vAlign w:val="center"/>
            <w:hideMark/>
          </w:tcPr>
          <w:p w14:paraId="531461AA" w14:textId="77777777" w:rsidR="009B5CB2" w:rsidRPr="009B5CB2" w:rsidRDefault="009B5CB2" w:rsidP="009B5CB2">
            <w:pPr>
              <w:spacing w:after="0" w:line="240" w:lineRule="auto"/>
              <w:jc w:val="right"/>
              <w:rPr>
                <w:rFonts w:ascii="Arial" w:eastAsia="Times New Roman" w:hAnsi="Arial" w:cs="Arial"/>
                <w:lang w:eastAsia="en-GB"/>
              </w:rPr>
            </w:pPr>
            <w:r w:rsidRPr="009B5CB2">
              <w:rPr>
                <w:rFonts w:ascii="Arial" w:eastAsia="Times New Roman" w:hAnsi="Arial" w:cs="Arial"/>
                <w:lang w:eastAsia="en-GB"/>
              </w:rPr>
              <w:t>1,958</w:t>
            </w:r>
          </w:p>
        </w:tc>
        <w:tc>
          <w:tcPr>
            <w:tcW w:w="1620" w:type="dxa"/>
            <w:tcBorders>
              <w:top w:val="nil"/>
              <w:left w:val="nil"/>
              <w:bottom w:val="single" w:sz="4" w:space="0" w:color="auto"/>
              <w:right w:val="nil"/>
            </w:tcBorders>
            <w:shd w:val="clear" w:color="auto" w:fill="auto"/>
            <w:vAlign w:val="center"/>
            <w:hideMark/>
          </w:tcPr>
          <w:p w14:paraId="4FF3AB32" w14:textId="77777777" w:rsidR="009B5CB2" w:rsidRPr="009B5CB2" w:rsidRDefault="009B5CB2" w:rsidP="009B5CB2">
            <w:pPr>
              <w:spacing w:after="0" w:line="240" w:lineRule="auto"/>
              <w:jc w:val="right"/>
              <w:rPr>
                <w:rFonts w:ascii="Arial" w:eastAsia="Times New Roman" w:hAnsi="Arial" w:cs="Arial"/>
                <w:lang w:eastAsia="en-GB"/>
              </w:rPr>
            </w:pPr>
            <w:r w:rsidRPr="009B5CB2">
              <w:rPr>
                <w:rFonts w:ascii="Arial" w:eastAsia="Times New Roman" w:hAnsi="Arial" w:cs="Arial"/>
                <w:color w:val="000000"/>
                <w:lang w:eastAsia="en-GB"/>
              </w:rPr>
              <w:t>(4,451)</w:t>
            </w:r>
          </w:p>
        </w:tc>
        <w:tc>
          <w:tcPr>
            <w:tcW w:w="1620" w:type="dxa"/>
            <w:tcBorders>
              <w:top w:val="nil"/>
              <w:left w:val="nil"/>
              <w:bottom w:val="single" w:sz="4" w:space="0" w:color="auto"/>
              <w:right w:val="nil"/>
            </w:tcBorders>
            <w:shd w:val="clear" w:color="auto" w:fill="auto"/>
            <w:vAlign w:val="center"/>
            <w:hideMark/>
          </w:tcPr>
          <w:p w14:paraId="51FB8158" w14:textId="77777777" w:rsidR="009B5CB2" w:rsidRPr="009B5CB2" w:rsidRDefault="009B5CB2" w:rsidP="009B5CB2">
            <w:pPr>
              <w:spacing w:after="0" w:line="240" w:lineRule="auto"/>
              <w:jc w:val="right"/>
              <w:rPr>
                <w:rFonts w:ascii="Arial" w:eastAsia="Times New Roman" w:hAnsi="Arial" w:cs="Arial"/>
                <w:lang w:eastAsia="en-GB"/>
              </w:rPr>
            </w:pPr>
            <w:r w:rsidRPr="009B5CB2">
              <w:rPr>
                <w:rFonts w:ascii="Arial" w:eastAsia="Times New Roman" w:hAnsi="Arial" w:cs="Arial"/>
                <w:lang w:eastAsia="en-GB"/>
              </w:rPr>
              <w:t>286</w:t>
            </w:r>
          </w:p>
        </w:tc>
        <w:tc>
          <w:tcPr>
            <w:tcW w:w="1620" w:type="dxa"/>
            <w:tcBorders>
              <w:top w:val="nil"/>
              <w:left w:val="nil"/>
              <w:bottom w:val="single" w:sz="4" w:space="0" w:color="auto"/>
              <w:right w:val="nil"/>
            </w:tcBorders>
            <w:shd w:val="clear" w:color="auto" w:fill="auto"/>
            <w:vAlign w:val="center"/>
            <w:hideMark/>
          </w:tcPr>
          <w:p w14:paraId="389DE130" w14:textId="77777777" w:rsidR="009B5CB2" w:rsidRPr="009B5CB2" w:rsidRDefault="009B5CB2" w:rsidP="009B5CB2">
            <w:pPr>
              <w:spacing w:after="0" w:line="240" w:lineRule="auto"/>
              <w:jc w:val="right"/>
              <w:rPr>
                <w:rFonts w:ascii="Arial" w:eastAsia="Times New Roman" w:hAnsi="Arial" w:cs="Arial"/>
                <w:lang w:eastAsia="en-GB"/>
              </w:rPr>
            </w:pPr>
            <w:r w:rsidRPr="009B5CB2">
              <w:rPr>
                <w:rFonts w:ascii="Arial" w:eastAsia="Times New Roman" w:hAnsi="Arial" w:cs="Arial"/>
                <w:lang w:eastAsia="en-GB"/>
              </w:rPr>
              <w:t>1,141</w:t>
            </w:r>
          </w:p>
        </w:tc>
        <w:tc>
          <w:tcPr>
            <w:tcW w:w="1620" w:type="dxa"/>
            <w:tcBorders>
              <w:top w:val="nil"/>
              <w:left w:val="nil"/>
              <w:bottom w:val="single" w:sz="4" w:space="0" w:color="auto"/>
              <w:right w:val="single" w:sz="4" w:space="0" w:color="auto"/>
            </w:tcBorders>
            <w:shd w:val="clear" w:color="auto" w:fill="auto"/>
            <w:vAlign w:val="center"/>
            <w:hideMark/>
          </w:tcPr>
          <w:p w14:paraId="1BD4CE93" w14:textId="77777777" w:rsidR="009B5CB2" w:rsidRPr="009B5CB2" w:rsidRDefault="009B5CB2" w:rsidP="009B5CB2">
            <w:pPr>
              <w:spacing w:after="0" w:line="240" w:lineRule="auto"/>
              <w:jc w:val="right"/>
              <w:rPr>
                <w:rFonts w:ascii="Arial" w:eastAsia="Times New Roman" w:hAnsi="Arial" w:cs="Arial"/>
                <w:lang w:eastAsia="en-GB"/>
              </w:rPr>
            </w:pPr>
            <w:r w:rsidRPr="009B5CB2">
              <w:rPr>
                <w:rFonts w:ascii="Arial" w:eastAsia="Times New Roman" w:hAnsi="Arial" w:cs="Arial"/>
                <w:color w:val="000000"/>
                <w:lang w:eastAsia="en-GB"/>
              </w:rPr>
              <w:t>(1,677)</w:t>
            </w:r>
          </w:p>
        </w:tc>
      </w:tr>
      <w:tr w:rsidR="009B5CB2" w:rsidRPr="009B5CB2" w14:paraId="05F2FFC3" w14:textId="77777777" w:rsidTr="009B5CB2">
        <w:trPr>
          <w:trHeight w:val="450"/>
        </w:trPr>
        <w:tc>
          <w:tcPr>
            <w:tcW w:w="4820" w:type="dxa"/>
            <w:tcBorders>
              <w:top w:val="nil"/>
              <w:left w:val="single" w:sz="4" w:space="0" w:color="auto"/>
              <w:bottom w:val="nil"/>
              <w:right w:val="nil"/>
            </w:tcBorders>
            <w:shd w:val="clear" w:color="auto" w:fill="auto"/>
            <w:vAlign w:val="center"/>
            <w:hideMark/>
          </w:tcPr>
          <w:p w14:paraId="46D5F66F" w14:textId="77777777" w:rsidR="009B5CB2" w:rsidRPr="009B5CB2" w:rsidRDefault="009B5CB2" w:rsidP="009B5CB2">
            <w:pPr>
              <w:spacing w:after="0" w:line="240" w:lineRule="auto"/>
              <w:rPr>
                <w:rFonts w:ascii="Arial" w:eastAsia="Times New Roman" w:hAnsi="Arial" w:cs="Arial"/>
                <w:lang w:eastAsia="en-GB"/>
              </w:rPr>
            </w:pPr>
            <w:r w:rsidRPr="009B5CB2">
              <w:rPr>
                <w:rFonts w:ascii="Arial" w:eastAsia="Times New Roman" w:hAnsi="Arial" w:cs="Arial"/>
                <w:lang w:eastAsia="en-GB"/>
              </w:rPr>
              <w:t>Surplus/(deficit) as % of income</w:t>
            </w:r>
          </w:p>
        </w:tc>
        <w:tc>
          <w:tcPr>
            <w:tcW w:w="1620" w:type="dxa"/>
            <w:tcBorders>
              <w:top w:val="nil"/>
              <w:left w:val="nil"/>
              <w:bottom w:val="nil"/>
              <w:right w:val="nil"/>
            </w:tcBorders>
            <w:shd w:val="clear" w:color="auto" w:fill="auto"/>
            <w:vAlign w:val="center"/>
            <w:hideMark/>
          </w:tcPr>
          <w:p w14:paraId="195BEE06" w14:textId="77777777" w:rsidR="009B5CB2" w:rsidRPr="009B5CB2" w:rsidRDefault="009B5CB2" w:rsidP="009B5CB2">
            <w:pPr>
              <w:spacing w:after="0" w:line="240" w:lineRule="auto"/>
              <w:jc w:val="right"/>
              <w:rPr>
                <w:rFonts w:ascii="Arial" w:eastAsia="Times New Roman" w:hAnsi="Arial" w:cs="Arial"/>
                <w:lang w:eastAsia="en-GB"/>
              </w:rPr>
            </w:pPr>
            <w:r w:rsidRPr="009B5CB2">
              <w:rPr>
                <w:rFonts w:ascii="Arial" w:eastAsia="Times New Roman" w:hAnsi="Arial" w:cs="Arial"/>
                <w:color w:val="000000"/>
                <w:lang w:eastAsia="en-GB"/>
              </w:rPr>
              <w:t>(</w:t>
            </w:r>
            <w:proofErr w:type="gramStart"/>
            <w:r w:rsidRPr="009B5CB2">
              <w:rPr>
                <w:rFonts w:ascii="Arial" w:eastAsia="Times New Roman" w:hAnsi="Arial" w:cs="Arial"/>
                <w:color w:val="000000"/>
                <w:lang w:eastAsia="en-GB"/>
              </w:rPr>
              <w:t>3.9)%</w:t>
            </w:r>
            <w:proofErr w:type="gramEnd"/>
          </w:p>
        </w:tc>
        <w:tc>
          <w:tcPr>
            <w:tcW w:w="1620" w:type="dxa"/>
            <w:tcBorders>
              <w:top w:val="nil"/>
              <w:left w:val="nil"/>
              <w:bottom w:val="nil"/>
              <w:right w:val="nil"/>
            </w:tcBorders>
            <w:shd w:val="clear" w:color="auto" w:fill="auto"/>
            <w:vAlign w:val="center"/>
            <w:hideMark/>
          </w:tcPr>
          <w:p w14:paraId="76C70CA8" w14:textId="77777777" w:rsidR="009B5CB2" w:rsidRPr="009B5CB2" w:rsidRDefault="009B5CB2" w:rsidP="009B5CB2">
            <w:pPr>
              <w:spacing w:after="0" w:line="240" w:lineRule="auto"/>
              <w:jc w:val="right"/>
              <w:rPr>
                <w:rFonts w:ascii="Arial" w:eastAsia="Times New Roman" w:hAnsi="Arial" w:cs="Arial"/>
                <w:lang w:eastAsia="en-GB"/>
              </w:rPr>
            </w:pPr>
            <w:r w:rsidRPr="009B5CB2">
              <w:rPr>
                <w:rFonts w:ascii="Arial" w:eastAsia="Times New Roman" w:hAnsi="Arial" w:cs="Arial"/>
                <w:lang w:eastAsia="en-GB"/>
              </w:rPr>
              <w:t>30.3%</w:t>
            </w:r>
          </w:p>
        </w:tc>
        <w:tc>
          <w:tcPr>
            <w:tcW w:w="1620" w:type="dxa"/>
            <w:tcBorders>
              <w:top w:val="nil"/>
              <w:left w:val="nil"/>
              <w:bottom w:val="nil"/>
              <w:right w:val="nil"/>
            </w:tcBorders>
            <w:shd w:val="clear" w:color="auto" w:fill="auto"/>
            <w:vAlign w:val="center"/>
            <w:hideMark/>
          </w:tcPr>
          <w:p w14:paraId="4D3D76E0" w14:textId="77777777" w:rsidR="009B5CB2" w:rsidRPr="009B5CB2" w:rsidRDefault="009B5CB2" w:rsidP="009B5CB2">
            <w:pPr>
              <w:spacing w:after="0" w:line="240" w:lineRule="auto"/>
              <w:jc w:val="right"/>
              <w:rPr>
                <w:rFonts w:ascii="Arial" w:eastAsia="Times New Roman" w:hAnsi="Arial" w:cs="Arial"/>
                <w:lang w:eastAsia="en-GB"/>
              </w:rPr>
            </w:pPr>
            <w:r w:rsidRPr="009B5CB2">
              <w:rPr>
                <w:rFonts w:ascii="Arial" w:eastAsia="Times New Roman" w:hAnsi="Arial" w:cs="Arial"/>
                <w:color w:val="000000"/>
                <w:lang w:eastAsia="en-GB"/>
              </w:rPr>
              <w:t>(</w:t>
            </w:r>
            <w:proofErr w:type="gramStart"/>
            <w:r w:rsidRPr="009B5CB2">
              <w:rPr>
                <w:rFonts w:ascii="Arial" w:eastAsia="Times New Roman" w:hAnsi="Arial" w:cs="Arial"/>
                <w:color w:val="000000"/>
                <w:lang w:eastAsia="en-GB"/>
              </w:rPr>
              <w:t>41.5)%</w:t>
            </w:r>
            <w:proofErr w:type="gramEnd"/>
          </w:p>
        </w:tc>
        <w:tc>
          <w:tcPr>
            <w:tcW w:w="1620" w:type="dxa"/>
            <w:tcBorders>
              <w:top w:val="nil"/>
              <w:left w:val="nil"/>
              <w:bottom w:val="nil"/>
              <w:right w:val="nil"/>
            </w:tcBorders>
            <w:shd w:val="clear" w:color="auto" w:fill="auto"/>
            <w:vAlign w:val="center"/>
            <w:hideMark/>
          </w:tcPr>
          <w:p w14:paraId="4A06544E" w14:textId="77777777" w:rsidR="009B5CB2" w:rsidRPr="009B5CB2" w:rsidRDefault="009B5CB2" w:rsidP="009B5CB2">
            <w:pPr>
              <w:spacing w:after="0" w:line="240" w:lineRule="auto"/>
              <w:jc w:val="right"/>
              <w:rPr>
                <w:rFonts w:ascii="Arial" w:eastAsia="Times New Roman" w:hAnsi="Arial" w:cs="Arial"/>
                <w:lang w:eastAsia="en-GB"/>
              </w:rPr>
            </w:pPr>
            <w:r w:rsidRPr="009B5CB2">
              <w:rPr>
                <w:rFonts w:ascii="Arial" w:eastAsia="Times New Roman" w:hAnsi="Arial" w:cs="Arial"/>
                <w:lang w:eastAsia="en-GB"/>
              </w:rPr>
              <w:t>4.1%</w:t>
            </w:r>
          </w:p>
        </w:tc>
        <w:tc>
          <w:tcPr>
            <w:tcW w:w="1620" w:type="dxa"/>
            <w:tcBorders>
              <w:top w:val="nil"/>
              <w:left w:val="nil"/>
              <w:bottom w:val="nil"/>
              <w:right w:val="nil"/>
            </w:tcBorders>
            <w:shd w:val="clear" w:color="auto" w:fill="auto"/>
            <w:vAlign w:val="center"/>
            <w:hideMark/>
          </w:tcPr>
          <w:p w14:paraId="6FDD0182" w14:textId="77777777" w:rsidR="009B5CB2" w:rsidRPr="009B5CB2" w:rsidRDefault="009B5CB2" w:rsidP="009B5CB2">
            <w:pPr>
              <w:spacing w:after="0" w:line="240" w:lineRule="auto"/>
              <w:jc w:val="right"/>
              <w:rPr>
                <w:rFonts w:ascii="Arial" w:eastAsia="Times New Roman" w:hAnsi="Arial" w:cs="Arial"/>
                <w:lang w:eastAsia="en-GB"/>
              </w:rPr>
            </w:pPr>
            <w:r w:rsidRPr="009B5CB2">
              <w:rPr>
                <w:rFonts w:ascii="Arial" w:eastAsia="Times New Roman" w:hAnsi="Arial" w:cs="Arial"/>
                <w:lang w:eastAsia="en-GB"/>
              </w:rPr>
              <w:t>70.9%</w:t>
            </w:r>
          </w:p>
        </w:tc>
        <w:tc>
          <w:tcPr>
            <w:tcW w:w="1620" w:type="dxa"/>
            <w:tcBorders>
              <w:top w:val="nil"/>
              <w:left w:val="nil"/>
              <w:bottom w:val="nil"/>
              <w:right w:val="single" w:sz="4" w:space="0" w:color="auto"/>
            </w:tcBorders>
            <w:shd w:val="clear" w:color="auto" w:fill="auto"/>
            <w:vAlign w:val="center"/>
            <w:hideMark/>
          </w:tcPr>
          <w:p w14:paraId="0C8FDBE1" w14:textId="77777777" w:rsidR="009B5CB2" w:rsidRPr="009B5CB2" w:rsidRDefault="009B5CB2" w:rsidP="009B5CB2">
            <w:pPr>
              <w:spacing w:after="0" w:line="240" w:lineRule="auto"/>
              <w:jc w:val="right"/>
              <w:rPr>
                <w:rFonts w:ascii="Arial" w:eastAsia="Times New Roman" w:hAnsi="Arial" w:cs="Arial"/>
                <w:lang w:eastAsia="en-GB"/>
              </w:rPr>
            </w:pPr>
            <w:r w:rsidRPr="009B5CB2">
              <w:rPr>
                <w:rFonts w:ascii="Arial" w:eastAsia="Times New Roman" w:hAnsi="Arial" w:cs="Arial"/>
                <w:color w:val="000000"/>
                <w:lang w:eastAsia="en-GB"/>
              </w:rPr>
              <w:t>(</w:t>
            </w:r>
            <w:proofErr w:type="gramStart"/>
            <w:r w:rsidRPr="009B5CB2">
              <w:rPr>
                <w:rFonts w:ascii="Arial" w:eastAsia="Times New Roman" w:hAnsi="Arial" w:cs="Arial"/>
                <w:color w:val="000000"/>
                <w:lang w:eastAsia="en-GB"/>
              </w:rPr>
              <w:t>4.1)%</w:t>
            </w:r>
            <w:proofErr w:type="gramEnd"/>
          </w:p>
        </w:tc>
      </w:tr>
      <w:tr w:rsidR="009B5CB2" w:rsidRPr="009B5CB2" w14:paraId="5FF1F60D" w14:textId="77777777" w:rsidTr="009B5CB2">
        <w:trPr>
          <w:trHeight w:val="450"/>
        </w:trPr>
        <w:tc>
          <w:tcPr>
            <w:tcW w:w="4820" w:type="dxa"/>
            <w:tcBorders>
              <w:top w:val="nil"/>
              <w:left w:val="single" w:sz="4" w:space="0" w:color="auto"/>
              <w:bottom w:val="nil"/>
              <w:right w:val="nil"/>
            </w:tcBorders>
            <w:shd w:val="clear" w:color="auto" w:fill="auto"/>
            <w:vAlign w:val="center"/>
            <w:hideMark/>
          </w:tcPr>
          <w:p w14:paraId="564A9815" w14:textId="77777777" w:rsidR="009B5CB2" w:rsidRPr="009B5CB2" w:rsidRDefault="009B5CB2" w:rsidP="009B5CB2">
            <w:pPr>
              <w:spacing w:after="0" w:line="240" w:lineRule="auto"/>
              <w:rPr>
                <w:rFonts w:ascii="Arial" w:eastAsia="Times New Roman" w:hAnsi="Arial" w:cs="Arial"/>
                <w:b/>
                <w:bCs/>
                <w:lang w:eastAsia="en-GB"/>
              </w:rPr>
            </w:pPr>
            <w:r w:rsidRPr="009B5CB2">
              <w:rPr>
                <w:rFonts w:ascii="Arial" w:eastAsia="Times New Roman" w:hAnsi="Arial" w:cs="Arial"/>
                <w:b/>
                <w:bCs/>
                <w:lang w:eastAsia="en-GB"/>
              </w:rPr>
              <w:t>Recovery of full economic costs %</w:t>
            </w:r>
          </w:p>
        </w:tc>
        <w:tc>
          <w:tcPr>
            <w:tcW w:w="1620" w:type="dxa"/>
            <w:tcBorders>
              <w:top w:val="nil"/>
              <w:left w:val="nil"/>
              <w:bottom w:val="nil"/>
              <w:right w:val="nil"/>
            </w:tcBorders>
            <w:shd w:val="clear" w:color="auto" w:fill="auto"/>
            <w:vAlign w:val="center"/>
            <w:hideMark/>
          </w:tcPr>
          <w:p w14:paraId="06B938F8" w14:textId="77777777" w:rsidR="009B5CB2" w:rsidRPr="009B5CB2" w:rsidRDefault="009B5CB2" w:rsidP="009B5CB2">
            <w:pPr>
              <w:spacing w:after="0" w:line="240" w:lineRule="auto"/>
              <w:jc w:val="right"/>
              <w:rPr>
                <w:rFonts w:ascii="Arial" w:eastAsia="Times New Roman" w:hAnsi="Arial" w:cs="Arial"/>
                <w:b/>
                <w:bCs/>
                <w:lang w:eastAsia="en-GB"/>
              </w:rPr>
            </w:pPr>
            <w:r w:rsidRPr="009B5CB2">
              <w:rPr>
                <w:rFonts w:ascii="Arial" w:eastAsia="Times New Roman" w:hAnsi="Arial" w:cs="Arial"/>
                <w:b/>
                <w:bCs/>
                <w:lang w:eastAsia="en-GB"/>
              </w:rPr>
              <w:t>96.2%</w:t>
            </w:r>
          </w:p>
        </w:tc>
        <w:tc>
          <w:tcPr>
            <w:tcW w:w="1620" w:type="dxa"/>
            <w:tcBorders>
              <w:top w:val="nil"/>
              <w:left w:val="nil"/>
              <w:bottom w:val="nil"/>
              <w:right w:val="nil"/>
            </w:tcBorders>
            <w:shd w:val="clear" w:color="auto" w:fill="auto"/>
            <w:vAlign w:val="center"/>
            <w:hideMark/>
          </w:tcPr>
          <w:p w14:paraId="0ACB45AF" w14:textId="77777777" w:rsidR="009B5CB2" w:rsidRPr="009B5CB2" w:rsidRDefault="009B5CB2" w:rsidP="009B5CB2">
            <w:pPr>
              <w:spacing w:after="0" w:line="240" w:lineRule="auto"/>
              <w:jc w:val="right"/>
              <w:rPr>
                <w:rFonts w:ascii="Arial" w:eastAsia="Times New Roman" w:hAnsi="Arial" w:cs="Arial"/>
                <w:b/>
                <w:bCs/>
                <w:lang w:eastAsia="en-GB"/>
              </w:rPr>
            </w:pPr>
            <w:r w:rsidRPr="009B5CB2">
              <w:rPr>
                <w:rFonts w:ascii="Arial" w:eastAsia="Times New Roman" w:hAnsi="Arial" w:cs="Arial"/>
                <w:b/>
                <w:bCs/>
                <w:lang w:eastAsia="en-GB"/>
              </w:rPr>
              <w:t>143.4%</w:t>
            </w:r>
          </w:p>
        </w:tc>
        <w:tc>
          <w:tcPr>
            <w:tcW w:w="1620" w:type="dxa"/>
            <w:tcBorders>
              <w:top w:val="nil"/>
              <w:left w:val="nil"/>
              <w:bottom w:val="nil"/>
              <w:right w:val="nil"/>
            </w:tcBorders>
            <w:shd w:val="clear" w:color="auto" w:fill="auto"/>
            <w:vAlign w:val="center"/>
            <w:hideMark/>
          </w:tcPr>
          <w:p w14:paraId="333CF7E8" w14:textId="77777777" w:rsidR="009B5CB2" w:rsidRPr="009B5CB2" w:rsidRDefault="009B5CB2" w:rsidP="009B5CB2">
            <w:pPr>
              <w:spacing w:after="0" w:line="240" w:lineRule="auto"/>
              <w:jc w:val="right"/>
              <w:rPr>
                <w:rFonts w:ascii="Arial" w:eastAsia="Times New Roman" w:hAnsi="Arial" w:cs="Arial"/>
                <w:b/>
                <w:bCs/>
                <w:lang w:eastAsia="en-GB"/>
              </w:rPr>
            </w:pPr>
            <w:r w:rsidRPr="009B5CB2">
              <w:rPr>
                <w:rFonts w:ascii="Arial" w:eastAsia="Times New Roman" w:hAnsi="Arial" w:cs="Arial"/>
                <w:b/>
                <w:bCs/>
                <w:lang w:eastAsia="en-GB"/>
              </w:rPr>
              <w:t>70.6%</w:t>
            </w:r>
          </w:p>
        </w:tc>
        <w:tc>
          <w:tcPr>
            <w:tcW w:w="1620" w:type="dxa"/>
            <w:tcBorders>
              <w:top w:val="nil"/>
              <w:left w:val="nil"/>
              <w:bottom w:val="nil"/>
              <w:right w:val="nil"/>
            </w:tcBorders>
            <w:shd w:val="clear" w:color="auto" w:fill="auto"/>
            <w:vAlign w:val="center"/>
            <w:hideMark/>
          </w:tcPr>
          <w:p w14:paraId="44FF5500" w14:textId="77777777" w:rsidR="009B5CB2" w:rsidRPr="009B5CB2" w:rsidRDefault="009B5CB2" w:rsidP="009B5CB2">
            <w:pPr>
              <w:spacing w:after="0" w:line="240" w:lineRule="auto"/>
              <w:jc w:val="right"/>
              <w:rPr>
                <w:rFonts w:ascii="Arial" w:eastAsia="Times New Roman" w:hAnsi="Arial" w:cs="Arial"/>
                <w:b/>
                <w:bCs/>
                <w:lang w:eastAsia="en-GB"/>
              </w:rPr>
            </w:pPr>
            <w:r w:rsidRPr="009B5CB2">
              <w:rPr>
                <w:rFonts w:ascii="Arial" w:eastAsia="Times New Roman" w:hAnsi="Arial" w:cs="Arial"/>
                <w:b/>
                <w:bCs/>
                <w:lang w:eastAsia="en-GB"/>
              </w:rPr>
              <w:t>104.3%</w:t>
            </w:r>
          </w:p>
        </w:tc>
        <w:tc>
          <w:tcPr>
            <w:tcW w:w="1620" w:type="dxa"/>
            <w:tcBorders>
              <w:top w:val="nil"/>
              <w:left w:val="nil"/>
              <w:bottom w:val="nil"/>
              <w:right w:val="nil"/>
            </w:tcBorders>
            <w:shd w:val="clear" w:color="auto" w:fill="auto"/>
            <w:vAlign w:val="center"/>
            <w:hideMark/>
          </w:tcPr>
          <w:p w14:paraId="126CB30D" w14:textId="77777777" w:rsidR="009B5CB2" w:rsidRPr="009B5CB2" w:rsidRDefault="009B5CB2" w:rsidP="009B5CB2">
            <w:pPr>
              <w:spacing w:after="0" w:line="240" w:lineRule="auto"/>
              <w:jc w:val="right"/>
              <w:rPr>
                <w:rFonts w:ascii="Arial" w:eastAsia="Times New Roman" w:hAnsi="Arial" w:cs="Arial"/>
                <w:b/>
                <w:bCs/>
                <w:lang w:eastAsia="en-GB"/>
              </w:rPr>
            </w:pPr>
            <w:r w:rsidRPr="009B5CB2">
              <w:rPr>
                <w:rFonts w:ascii="Arial" w:eastAsia="Times New Roman" w:hAnsi="Arial" w:cs="Arial"/>
                <w:b/>
                <w:bCs/>
                <w:lang w:eastAsia="en-GB"/>
              </w:rPr>
              <w:t>343.5%</w:t>
            </w:r>
          </w:p>
        </w:tc>
        <w:tc>
          <w:tcPr>
            <w:tcW w:w="1620" w:type="dxa"/>
            <w:tcBorders>
              <w:top w:val="nil"/>
              <w:left w:val="nil"/>
              <w:bottom w:val="nil"/>
              <w:right w:val="single" w:sz="4" w:space="0" w:color="auto"/>
            </w:tcBorders>
            <w:shd w:val="clear" w:color="auto" w:fill="auto"/>
            <w:vAlign w:val="center"/>
            <w:hideMark/>
          </w:tcPr>
          <w:p w14:paraId="6F1DA93A" w14:textId="77777777" w:rsidR="009B5CB2" w:rsidRPr="009B5CB2" w:rsidRDefault="009B5CB2" w:rsidP="009B5CB2">
            <w:pPr>
              <w:spacing w:after="0" w:line="240" w:lineRule="auto"/>
              <w:jc w:val="right"/>
              <w:rPr>
                <w:rFonts w:ascii="Arial" w:eastAsia="Times New Roman" w:hAnsi="Arial" w:cs="Arial"/>
                <w:b/>
                <w:bCs/>
                <w:lang w:eastAsia="en-GB"/>
              </w:rPr>
            </w:pPr>
            <w:r w:rsidRPr="009B5CB2">
              <w:rPr>
                <w:rFonts w:ascii="Arial" w:eastAsia="Times New Roman" w:hAnsi="Arial" w:cs="Arial"/>
                <w:b/>
                <w:bCs/>
                <w:lang w:eastAsia="en-GB"/>
              </w:rPr>
              <w:t>96.1%</w:t>
            </w:r>
          </w:p>
        </w:tc>
      </w:tr>
      <w:tr w:rsidR="009B5CB2" w:rsidRPr="009B5CB2" w14:paraId="1F71864F" w14:textId="77777777" w:rsidTr="009B5CB2">
        <w:trPr>
          <w:trHeight w:val="450"/>
        </w:trPr>
        <w:tc>
          <w:tcPr>
            <w:tcW w:w="4820" w:type="dxa"/>
            <w:tcBorders>
              <w:top w:val="nil"/>
              <w:left w:val="single" w:sz="4" w:space="0" w:color="auto"/>
              <w:bottom w:val="single" w:sz="4" w:space="0" w:color="auto"/>
              <w:right w:val="nil"/>
            </w:tcBorders>
            <w:shd w:val="clear" w:color="auto" w:fill="auto"/>
            <w:vAlign w:val="center"/>
            <w:hideMark/>
          </w:tcPr>
          <w:p w14:paraId="607944C9" w14:textId="77777777" w:rsidR="009B5CB2" w:rsidRPr="009B5CB2" w:rsidRDefault="009B5CB2" w:rsidP="009B5CB2">
            <w:pPr>
              <w:spacing w:after="0" w:line="240" w:lineRule="auto"/>
              <w:rPr>
                <w:rFonts w:ascii="Arial" w:eastAsia="Times New Roman" w:hAnsi="Arial" w:cs="Arial"/>
                <w:lang w:eastAsia="en-GB"/>
              </w:rPr>
            </w:pPr>
            <w:r w:rsidRPr="009B5CB2">
              <w:rPr>
                <w:rFonts w:ascii="Arial" w:eastAsia="Times New Roman" w:hAnsi="Arial" w:cs="Arial"/>
                <w:lang w:eastAsia="en-GB"/>
              </w:rPr>
              <w:t>Recovery of full economic costs % (2017-18)</w:t>
            </w:r>
          </w:p>
        </w:tc>
        <w:tc>
          <w:tcPr>
            <w:tcW w:w="1620" w:type="dxa"/>
            <w:tcBorders>
              <w:top w:val="nil"/>
              <w:left w:val="nil"/>
              <w:bottom w:val="single" w:sz="4" w:space="0" w:color="auto"/>
              <w:right w:val="nil"/>
            </w:tcBorders>
            <w:shd w:val="clear" w:color="auto" w:fill="auto"/>
            <w:vAlign w:val="center"/>
            <w:hideMark/>
          </w:tcPr>
          <w:p w14:paraId="2750BAB9" w14:textId="77777777" w:rsidR="009B5CB2" w:rsidRPr="009B5CB2" w:rsidRDefault="009B5CB2" w:rsidP="009B5CB2">
            <w:pPr>
              <w:spacing w:after="0" w:line="240" w:lineRule="auto"/>
              <w:jc w:val="right"/>
              <w:rPr>
                <w:rFonts w:ascii="Arial" w:eastAsia="Times New Roman" w:hAnsi="Arial" w:cs="Arial"/>
                <w:lang w:eastAsia="en-GB"/>
              </w:rPr>
            </w:pPr>
            <w:r w:rsidRPr="009B5CB2">
              <w:rPr>
                <w:rFonts w:ascii="Arial" w:eastAsia="Times New Roman" w:hAnsi="Arial" w:cs="Arial"/>
                <w:lang w:eastAsia="en-GB"/>
              </w:rPr>
              <w:t>97.9%</w:t>
            </w:r>
          </w:p>
        </w:tc>
        <w:tc>
          <w:tcPr>
            <w:tcW w:w="1620" w:type="dxa"/>
            <w:tcBorders>
              <w:top w:val="nil"/>
              <w:left w:val="nil"/>
              <w:bottom w:val="single" w:sz="4" w:space="0" w:color="auto"/>
              <w:right w:val="nil"/>
            </w:tcBorders>
            <w:shd w:val="clear" w:color="auto" w:fill="auto"/>
            <w:vAlign w:val="center"/>
            <w:hideMark/>
          </w:tcPr>
          <w:p w14:paraId="5F180DAB" w14:textId="77777777" w:rsidR="009B5CB2" w:rsidRPr="009B5CB2" w:rsidRDefault="009B5CB2" w:rsidP="009B5CB2">
            <w:pPr>
              <w:spacing w:after="0" w:line="240" w:lineRule="auto"/>
              <w:jc w:val="right"/>
              <w:rPr>
                <w:rFonts w:ascii="Arial" w:eastAsia="Times New Roman" w:hAnsi="Arial" w:cs="Arial"/>
                <w:lang w:eastAsia="en-GB"/>
              </w:rPr>
            </w:pPr>
            <w:r w:rsidRPr="009B5CB2">
              <w:rPr>
                <w:rFonts w:ascii="Arial" w:eastAsia="Times New Roman" w:hAnsi="Arial" w:cs="Arial"/>
                <w:lang w:eastAsia="en-GB"/>
              </w:rPr>
              <w:t>139.4%</w:t>
            </w:r>
          </w:p>
        </w:tc>
        <w:tc>
          <w:tcPr>
            <w:tcW w:w="1620" w:type="dxa"/>
            <w:tcBorders>
              <w:top w:val="nil"/>
              <w:left w:val="nil"/>
              <w:bottom w:val="single" w:sz="4" w:space="0" w:color="auto"/>
              <w:right w:val="nil"/>
            </w:tcBorders>
            <w:shd w:val="clear" w:color="auto" w:fill="auto"/>
            <w:vAlign w:val="center"/>
            <w:hideMark/>
          </w:tcPr>
          <w:p w14:paraId="38D13762" w14:textId="77777777" w:rsidR="009B5CB2" w:rsidRPr="009B5CB2" w:rsidRDefault="009B5CB2" w:rsidP="009B5CB2">
            <w:pPr>
              <w:spacing w:after="0" w:line="240" w:lineRule="auto"/>
              <w:jc w:val="right"/>
              <w:rPr>
                <w:rFonts w:ascii="Arial" w:eastAsia="Times New Roman" w:hAnsi="Arial" w:cs="Arial"/>
                <w:lang w:eastAsia="en-GB"/>
              </w:rPr>
            </w:pPr>
            <w:r w:rsidRPr="009B5CB2">
              <w:rPr>
                <w:rFonts w:ascii="Arial" w:eastAsia="Times New Roman" w:hAnsi="Arial" w:cs="Arial"/>
                <w:lang w:eastAsia="en-GB"/>
              </w:rPr>
              <w:t>70.0%</w:t>
            </w:r>
          </w:p>
        </w:tc>
        <w:tc>
          <w:tcPr>
            <w:tcW w:w="1620" w:type="dxa"/>
            <w:tcBorders>
              <w:top w:val="nil"/>
              <w:left w:val="nil"/>
              <w:bottom w:val="single" w:sz="4" w:space="0" w:color="auto"/>
              <w:right w:val="nil"/>
            </w:tcBorders>
            <w:shd w:val="clear" w:color="auto" w:fill="auto"/>
            <w:vAlign w:val="center"/>
            <w:hideMark/>
          </w:tcPr>
          <w:p w14:paraId="4D467169" w14:textId="77777777" w:rsidR="009B5CB2" w:rsidRPr="009B5CB2" w:rsidRDefault="009B5CB2" w:rsidP="009B5CB2">
            <w:pPr>
              <w:spacing w:after="0" w:line="240" w:lineRule="auto"/>
              <w:jc w:val="right"/>
              <w:rPr>
                <w:rFonts w:ascii="Arial" w:eastAsia="Times New Roman" w:hAnsi="Arial" w:cs="Arial"/>
                <w:lang w:eastAsia="en-GB"/>
              </w:rPr>
            </w:pPr>
            <w:r w:rsidRPr="009B5CB2">
              <w:rPr>
                <w:rFonts w:ascii="Arial" w:eastAsia="Times New Roman" w:hAnsi="Arial" w:cs="Arial"/>
                <w:lang w:eastAsia="en-GB"/>
              </w:rPr>
              <w:t>103.7%</w:t>
            </w:r>
          </w:p>
        </w:tc>
        <w:tc>
          <w:tcPr>
            <w:tcW w:w="1620" w:type="dxa"/>
            <w:tcBorders>
              <w:top w:val="nil"/>
              <w:left w:val="nil"/>
              <w:bottom w:val="single" w:sz="4" w:space="0" w:color="auto"/>
              <w:right w:val="nil"/>
            </w:tcBorders>
            <w:shd w:val="clear" w:color="auto" w:fill="auto"/>
            <w:vAlign w:val="center"/>
            <w:hideMark/>
          </w:tcPr>
          <w:p w14:paraId="22799593" w14:textId="77777777" w:rsidR="009B5CB2" w:rsidRPr="009B5CB2" w:rsidRDefault="009B5CB2" w:rsidP="009B5CB2">
            <w:pPr>
              <w:spacing w:after="0" w:line="240" w:lineRule="auto"/>
              <w:jc w:val="right"/>
              <w:rPr>
                <w:rFonts w:ascii="Arial" w:eastAsia="Times New Roman" w:hAnsi="Arial" w:cs="Arial"/>
                <w:lang w:eastAsia="en-GB"/>
              </w:rPr>
            </w:pPr>
            <w:r w:rsidRPr="009B5CB2">
              <w:rPr>
                <w:rFonts w:ascii="Arial" w:eastAsia="Times New Roman" w:hAnsi="Arial" w:cs="Arial"/>
                <w:lang w:eastAsia="en-GB"/>
              </w:rPr>
              <w:t>373.0%</w:t>
            </w:r>
          </w:p>
        </w:tc>
        <w:tc>
          <w:tcPr>
            <w:tcW w:w="1620" w:type="dxa"/>
            <w:tcBorders>
              <w:top w:val="nil"/>
              <w:left w:val="nil"/>
              <w:bottom w:val="single" w:sz="4" w:space="0" w:color="auto"/>
              <w:right w:val="single" w:sz="4" w:space="0" w:color="auto"/>
            </w:tcBorders>
            <w:shd w:val="clear" w:color="auto" w:fill="auto"/>
            <w:vAlign w:val="center"/>
            <w:hideMark/>
          </w:tcPr>
          <w:p w14:paraId="2D6BE65F" w14:textId="77777777" w:rsidR="009B5CB2" w:rsidRPr="009B5CB2" w:rsidRDefault="009B5CB2" w:rsidP="009B5CB2">
            <w:pPr>
              <w:spacing w:after="0" w:line="240" w:lineRule="auto"/>
              <w:jc w:val="right"/>
              <w:rPr>
                <w:rFonts w:ascii="Arial" w:eastAsia="Times New Roman" w:hAnsi="Arial" w:cs="Arial"/>
                <w:lang w:eastAsia="en-GB"/>
              </w:rPr>
            </w:pPr>
            <w:r w:rsidRPr="009B5CB2">
              <w:rPr>
                <w:rFonts w:ascii="Arial" w:eastAsia="Times New Roman" w:hAnsi="Arial" w:cs="Arial"/>
                <w:lang w:eastAsia="en-GB"/>
              </w:rPr>
              <w:t>95.7%</w:t>
            </w:r>
          </w:p>
        </w:tc>
      </w:tr>
      <w:tr w:rsidR="009B5CB2" w:rsidRPr="009B5CB2" w14:paraId="76F51C18" w14:textId="77777777" w:rsidTr="009B5CB2">
        <w:trPr>
          <w:trHeight w:val="450"/>
        </w:trPr>
        <w:tc>
          <w:tcPr>
            <w:tcW w:w="4820" w:type="dxa"/>
            <w:tcBorders>
              <w:top w:val="nil"/>
              <w:left w:val="single" w:sz="4" w:space="0" w:color="auto"/>
              <w:bottom w:val="nil"/>
              <w:right w:val="nil"/>
            </w:tcBorders>
            <w:shd w:val="clear" w:color="auto" w:fill="auto"/>
            <w:vAlign w:val="center"/>
            <w:hideMark/>
          </w:tcPr>
          <w:p w14:paraId="613A363A" w14:textId="77777777" w:rsidR="009B5CB2" w:rsidRPr="009B5CB2" w:rsidRDefault="009B5CB2" w:rsidP="009B5CB2">
            <w:pPr>
              <w:spacing w:after="0" w:line="240" w:lineRule="auto"/>
              <w:rPr>
                <w:rFonts w:ascii="Arial" w:eastAsia="Times New Roman" w:hAnsi="Arial" w:cs="Arial"/>
                <w:b/>
                <w:bCs/>
                <w:lang w:eastAsia="en-GB"/>
              </w:rPr>
            </w:pPr>
            <w:r w:rsidRPr="009B5CB2">
              <w:rPr>
                <w:rFonts w:ascii="Arial" w:eastAsia="Times New Roman" w:hAnsi="Arial" w:cs="Arial"/>
                <w:b/>
                <w:bCs/>
                <w:lang w:eastAsia="en-GB"/>
              </w:rPr>
              <w:t>Included in income</w:t>
            </w:r>
          </w:p>
        </w:tc>
        <w:tc>
          <w:tcPr>
            <w:tcW w:w="1620" w:type="dxa"/>
            <w:tcBorders>
              <w:top w:val="nil"/>
              <w:left w:val="nil"/>
              <w:bottom w:val="nil"/>
              <w:right w:val="nil"/>
            </w:tcBorders>
            <w:shd w:val="clear" w:color="auto" w:fill="auto"/>
            <w:vAlign w:val="center"/>
            <w:hideMark/>
          </w:tcPr>
          <w:p w14:paraId="113F2B63" w14:textId="77777777" w:rsidR="009B5CB2" w:rsidRPr="009B5CB2" w:rsidRDefault="009B5CB2" w:rsidP="009B5CB2">
            <w:pPr>
              <w:spacing w:after="0" w:line="240" w:lineRule="auto"/>
              <w:rPr>
                <w:rFonts w:ascii="Arial" w:eastAsia="Times New Roman" w:hAnsi="Arial" w:cs="Arial"/>
                <w:b/>
                <w:bCs/>
                <w:lang w:eastAsia="en-GB"/>
              </w:rPr>
            </w:pPr>
          </w:p>
        </w:tc>
        <w:tc>
          <w:tcPr>
            <w:tcW w:w="1620" w:type="dxa"/>
            <w:tcBorders>
              <w:top w:val="nil"/>
              <w:left w:val="nil"/>
              <w:bottom w:val="nil"/>
              <w:right w:val="nil"/>
            </w:tcBorders>
            <w:shd w:val="clear" w:color="auto" w:fill="auto"/>
            <w:vAlign w:val="center"/>
            <w:hideMark/>
          </w:tcPr>
          <w:p w14:paraId="3F70200D" w14:textId="77777777" w:rsidR="009B5CB2" w:rsidRPr="009B5CB2" w:rsidRDefault="009B5CB2" w:rsidP="009B5CB2">
            <w:pPr>
              <w:spacing w:after="0" w:line="240" w:lineRule="auto"/>
              <w:jc w:val="right"/>
              <w:rPr>
                <w:rFonts w:ascii="Times New Roman" w:eastAsia="Times New Roman" w:hAnsi="Times New Roman" w:cs="Times New Roman"/>
                <w:sz w:val="20"/>
                <w:szCs w:val="20"/>
                <w:lang w:eastAsia="en-GB"/>
              </w:rPr>
            </w:pPr>
          </w:p>
        </w:tc>
        <w:tc>
          <w:tcPr>
            <w:tcW w:w="1620" w:type="dxa"/>
            <w:tcBorders>
              <w:top w:val="nil"/>
              <w:left w:val="nil"/>
              <w:bottom w:val="nil"/>
              <w:right w:val="nil"/>
            </w:tcBorders>
            <w:shd w:val="clear" w:color="auto" w:fill="auto"/>
            <w:vAlign w:val="center"/>
            <w:hideMark/>
          </w:tcPr>
          <w:p w14:paraId="4B8A5735" w14:textId="77777777" w:rsidR="009B5CB2" w:rsidRPr="009B5CB2" w:rsidRDefault="009B5CB2" w:rsidP="009B5CB2">
            <w:pPr>
              <w:spacing w:after="0" w:line="240" w:lineRule="auto"/>
              <w:jc w:val="right"/>
              <w:rPr>
                <w:rFonts w:ascii="Times New Roman" w:eastAsia="Times New Roman" w:hAnsi="Times New Roman" w:cs="Times New Roman"/>
                <w:sz w:val="20"/>
                <w:szCs w:val="20"/>
                <w:lang w:eastAsia="en-GB"/>
              </w:rPr>
            </w:pPr>
          </w:p>
        </w:tc>
        <w:tc>
          <w:tcPr>
            <w:tcW w:w="1620" w:type="dxa"/>
            <w:tcBorders>
              <w:top w:val="nil"/>
              <w:left w:val="nil"/>
              <w:bottom w:val="nil"/>
              <w:right w:val="nil"/>
            </w:tcBorders>
            <w:shd w:val="clear" w:color="auto" w:fill="auto"/>
            <w:vAlign w:val="center"/>
            <w:hideMark/>
          </w:tcPr>
          <w:p w14:paraId="154066D8" w14:textId="77777777" w:rsidR="009B5CB2" w:rsidRPr="009B5CB2" w:rsidRDefault="009B5CB2" w:rsidP="009B5CB2">
            <w:pPr>
              <w:spacing w:after="0" w:line="240" w:lineRule="auto"/>
              <w:jc w:val="right"/>
              <w:rPr>
                <w:rFonts w:ascii="Times New Roman" w:eastAsia="Times New Roman" w:hAnsi="Times New Roman" w:cs="Times New Roman"/>
                <w:sz w:val="20"/>
                <w:szCs w:val="20"/>
                <w:lang w:eastAsia="en-GB"/>
              </w:rPr>
            </w:pPr>
          </w:p>
        </w:tc>
        <w:tc>
          <w:tcPr>
            <w:tcW w:w="1620" w:type="dxa"/>
            <w:tcBorders>
              <w:top w:val="nil"/>
              <w:left w:val="nil"/>
              <w:bottom w:val="nil"/>
              <w:right w:val="nil"/>
            </w:tcBorders>
            <w:shd w:val="clear" w:color="auto" w:fill="auto"/>
            <w:vAlign w:val="center"/>
            <w:hideMark/>
          </w:tcPr>
          <w:p w14:paraId="62B63718" w14:textId="77777777" w:rsidR="009B5CB2" w:rsidRPr="009B5CB2" w:rsidRDefault="009B5CB2" w:rsidP="009B5CB2">
            <w:pPr>
              <w:spacing w:after="0" w:line="240" w:lineRule="auto"/>
              <w:jc w:val="right"/>
              <w:rPr>
                <w:rFonts w:ascii="Times New Roman" w:eastAsia="Times New Roman" w:hAnsi="Times New Roman" w:cs="Times New Roman"/>
                <w:sz w:val="20"/>
                <w:szCs w:val="20"/>
                <w:lang w:eastAsia="en-GB"/>
              </w:rPr>
            </w:pPr>
          </w:p>
        </w:tc>
        <w:tc>
          <w:tcPr>
            <w:tcW w:w="1620" w:type="dxa"/>
            <w:tcBorders>
              <w:top w:val="nil"/>
              <w:left w:val="nil"/>
              <w:bottom w:val="nil"/>
              <w:right w:val="single" w:sz="4" w:space="0" w:color="auto"/>
            </w:tcBorders>
            <w:shd w:val="clear" w:color="auto" w:fill="auto"/>
            <w:vAlign w:val="center"/>
            <w:hideMark/>
          </w:tcPr>
          <w:p w14:paraId="036C90A1" w14:textId="77777777" w:rsidR="009B5CB2" w:rsidRPr="009B5CB2" w:rsidRDefault="009B5CB2" w:rsidP="009B5CB2">
            <w:pPr>
              <w:spacing w:after="0" w:line="240" w:lineRule="auto"/>
              <w:jc w:val="right"/>
              <w:rPr>
                <w:rFonts w:ascii="Arial" w:eastAsia="Times New Roman" w:hAnsi="Arial" w:cs="Arial"/>
                <w:lang w:eastAsia="en-GB"/>
              </w:rPr>
            </w:pPr>
            <w:r w:rsidRPr="009B5CB2">
              <w:rPr>
                <w:rFonts w:ascii="Arial" w:eastAsia="Times New Roman" w:hAnsi="Arial" w:cs="Arial"/>
                <w:lang w:eastAsia="en-GB"/>
              </w:rPr>
              <w:t> </w:t>
            </w:r>
          </w:p>
        </w:tc>
      </w:tr>
      <w:tr w:rsidR="009B5CB2" w:rsidRPr="009B5CB2" w14:paraId="7B6B2A04" w14:textId="77777777" w:rsidTr="009B5CB2">
        <w:trPr>
          <w:trHeight w:val="450"/>
        </w:trPr>
        <w:tc>
          <w:tcPr>
            <w:tcW w:w="4820" w:type="dxa"/>
            <w:tcBorders>
              <w:top w:val="nil"/>
              <w:left w:val="single" w:sz="4" w:space="0" w:color="auto"/>
              <w:bottom w:val="nil"/>
              <w:right w:val="nil"/>
            </w:tcBorders>
            <w:shd w:val="clear" w:color="auto" w:fill="auto"/>
            <w:vAlign w:val="center"/>
            <w:hideMark/>
          </w:tcPr>
          <w:p w14:paraId="3443B9FC" w14:textId="77777777" w:rsidR="009B5CB2" w:rsidRPr="009B5CB2" w:rsidRDefault="009B5CB2" w:rsidP="009B5CB2">
            <w:pPr>
              <w:spacing w:after="0" w:line="240" w:lineRule="auto"/>
              <w:rPr>
                <w:rFonts w:ascii="Arial" w:eastAsia="Times New Roman" w:hAnsi="Arial" w:cs="Arial"/>
                <w:lang w:eastAsia="en-GB"/>
              </w:rPr>
            </w:pPr>
            <w:r w:rsidRPr="009B5CB2">
              <w:rPr>
                <w:rFonts w:ascii="Arial" w:eastAsia="Times New Roman" w:hAnsi="Arial" w:cs="Arial"/>
                <w:lang w:eastAsia="en-GB"/>
              </w:rPr>
              <w:t>New endowments received</w:t>
            </w:r>
          </w:p>
        </w:tc>
        <w:tc>
          <w:tcPr>
            <w:tcW w:w="1620" w:type="dxa"/>
            <w:tcBorders>
              <w:top w:val="nil"/>
              <w:left w:val="nil"/>
              <w:bottom w:val="nil"/>
              <w:right w:val="nil"/>
            </w:tcBorders>
            <w:shd w:val="clear" w:color="auto" w:fill="auto"/>
            <w:vAlign w:val="center"/>
            <w:hideMark/>
          </w:tcPr>
          <w:p w14:paraId="2542B65D" w14:textId="77777777" w:rsidR="009B5CB2" w:rsidRPr="009B5CB2" w:rsidRDefault="009B5CB2" w:rsidP="009B5CB2">
            <w:pPr>
              <w:spacing w:after="0" w:line="240" w:lineRule="auto"/>
              <w:jc w:val="right"/>
              <w:rPr>
                <w:rFonts w:ascii="Arial" w:eastAsia="Times New Roman" w:hAnsi="Arial" w:cs="Arial"/>
                <w:lang w:eastAsia="en-GB"/>
              </w:rPr>
            </w:pPr>
            <w:r w:rsidRPr="009B5CB2">
              <w:rPr>
                <w:rFonts w:ascii="Arial" w:eastAsia="Times New Roman" w:hAnsi="Arial" w:cs="Arial"/>
                <w:lang w:eastAsia="en-GB"/>
              </w:rPr>
              <w:t>5</w:t>
            </w:r>
          </w:p>
        </w:tc>
        <w:tc>
          <w:tcPr>
            <w:tcW w:w="1620" w:type="dxa"/>
            <w:tcBorders>
              <w:top w:val="nil"/>
              <w:left w:val="nil"/>
              <w:bottom w:val="nil"/>
              <w:right w:val="nil"/>
            </w:tcBorders>
            <w:shd w:val="clear" w:color="auto" w:fill="auto"/>
            <w:vAlign w:val="center"/>
            <w:hideMark/>
          </w:tcPr>
          <w:p w14:paraId="0B5AE202" w14:textId="77777777" w:rsidR="009B5CB2" w:rsidRPr="009B5CB2" w:rsidRDefault="009B5CB2" w:rsidP="009B5CB2">
            <w:pPr>
              <w:spacing w:after="0" w:line="240" w:lineRule="auto"/>
              <w:jc w:val="right"/>
              <w:rPr>
                <w:rFonts w:ascii="Arial" w:eastAsia="Times New Roman" w:hAnsi="Arial" w:cs="Arial"/>
                <w:lang w:eastAsia="en-GB"/>
              </w:rPr>
            </w:pPr>
            <w:r w:rsidRPr="009B5CB2">
              <w:rPr>
                <w:rFonts w:ascii="Arial" w:eastAsia="Times New Roman" w:hAnsi="Arial" w:cs="Arial"/>
                <w:lang w:eastAsia="en-GB"/>
              </w:rPr>
              <w:t>49</w:t>
            </w:r>
          </w:p>
        </w:tc>
        <w:tc>
          <w:tcPr>
            <w:tcW w:w="1620" w:type="dxa"/>
            <w:tcBorders>
              <w:top w:val="nil"/>
              <w:left w:val="nil"/>
              <w:bottom w:val="nil"/>
              <w:right w:val="nil"/>
            </w:tcBorders>
            <w:shd w:val="clear" w:color="auto" w:fill="auto"/>
            <w:vAlign w:val="center"/>
            <w:hideMark/>
          </w:tcPr>
          <w:p w14:paraId="389D207F" w14:textId="77777777" w:rsidR="009B5CB2" w:rsidRPr="009B5CB2" w:rsidRDefault="009B5CB2" w:rsidP="009B5CB2">
            <w:pPr>
              <w:spacing w:after="0" w:line="240" w:lineRule="auto"/>
              <w:jc w:val="right"/>
              <w:rPr>
                <w:rFonts w:ascii="Arial" w:eastAsia="Times New Roman" w:hAnsi="Arial" w:cs="Arial"/>
                <w:lang w:eastAsia="en-GB"/>
              </w:rPr>
            </w:pPr>
            <w:r w:rsidRPr="009B5CB2">
              <w:rPr>
                <w:rFonts w:ascii="Arial" w:eastAsia="Times New Roman" w:hAnsi="Arial" w:cs="Arial"/>
                <w:lang w:eastAsia="en-GB"/>
              </w:rPr>
              <w:t>78</w:t>
            </w:r>
          </w:p>
        </w:tc>
        <w:tc>
          <w:tcPr>
            <w:tcW w:w="1620" w:type="dxa"/>
            <w:tcBorders>
              <w:top w:val="nil"/>
              <w:left w:val="nil"/>
              <w:bottom w:val="nil"/>
              <w:right w:val="nil"/>
            </w:tcBorders>
            <w:shd w:val="clear" w:color="auto" w:fill="auto"/>
            <w:vAlign w:val="center"/>
            <w:hideMark/>
          </w:tcPr>
          <w:p w14:paraId="7EF483B2" w14:textId="77777777" w:rsidR="009B5CB2" w:rsidRPr="009B5CB2" w:rsidRDefault="009B5CB2" w:rsidP="009B5CB2">
            <w:pPr>
              <w:spacing w:after="0" w:line="240" w:lineRule="auto"/>
              <w:jc w:val="right"/>
              <w:rPr>
                <w:rFonts w:ascii="Arial" w:eastAsia="Times New Roman" w:hAnsi="Arial" w:cs="Arial"/>
                <w:lang w:eastAsia="en-GB"/>
              </w:rPr>
            </w:pPr>
            <w:r w:rsidRPr="009B5CB2">
              <w:rPr>
                <w:rFonts w:ascii="Arial" w:eastAsia="Times New Roman" w:hAnsi="Arial" w:cs="Arial"/>
                <w:lang w:eastAsia="en-GB"/>
              </w:rPr>
              <w:t>2</w:t>
            </w:r>
          </w:p>
        </w:tc>
        <w:tc>
          <w:tcPr>
            <w:tcW w:w="1620" w:type="dxa"/>
            <w:tcBorders>
              <w:top w:val="nil"/>
              <w:left w:val="nil"/>
              <w:bottom w:val="nil"/>
              <w:right w:val="nil"/>
            </w:tcBorders>
            <w:shd w:val="clear" w:color="auto" w:fill="auto"/>
            <w:vAlign w:val="center"/>
            <w:hideMark/>
          </w:tcPr>
          <w:p w14:paraId="056D4286" w14:textId="77777777" w:rsidR="009B5CB2" w:rsidRPr="009B5CB2" w:rsidRDefault="009B5CB2" w:rsidP="009B5CB2">
            <w:pPr>
              <w:spacing w:after="0" w:line="240" w:lineRule="auto"/>
              <w:jc w:val="right"/>
              <w:rPr>
                <w:rFonts w:ascii="Arial" w:eastAsia="Times New Roman" w:hAnsi="Arial" w:cs="Arial"/>
                <w:lang w:eastAsia="en-GB"/>
              </w:rPr>
            </w:pPr>
            <w:r w:rsidRPr="009B5CB2">
              <w:rPr>
                <w:rFonts w:ascii="Arial" w:eastAsia="Times New Roman" w:hAnsi="Arial" w:cs="Arial"/>
                <w:lang w:eastAsia="en-GB"/>
              </w:rPr>
              <w:t>31</w:t>
            </w:r>
          </w:p>
        </w:tc>
        <w:tc>
          <w:tcPr>
            <w:tcW w:w="1620" w:type="dxa"/>
            <w:tcBorders>
              <w:top w:val="nil"/>
              <w:left w:val="nil"/>
              <w:bottom w:val="nil"/>
              <w:right w:val="single" w:sz="4" w:space="0" w:color="auto"/>
            </w:tcBorders>
            <w:shd w:val="clear" w:color="auto" w:fill="auto"/>
            <w:vAlign w:val="center"/>
            <w:hideMark/>
          </w:tcPr>
          <w:p w14:paraId="4B9DAFB9" w14:textId="77777777" w:rsidR="009B5CB2" w:rsidRPr="009B5CB2" w:rsidRDefault="009B5CB2" w:rsidP="009B5CB2">
            <w:pPr>
              <w:spacing w:after="0" w:line="240" w:lineRule="auto"/>
              <w:jc w:val="right"/>
              <w:rPr>
                <w:rFonts w:ascii="Arial" w:eastAsia="Times New Roman" w:hAnsi="Arial" w:cs="Arial"/>
                <w:lang w:eastAsia="en-GB"/>
              </w:rPr>
            </w:pPr>
            <w:r w:rsidRPr="009B5CB2">
              <w:rPr>
                <w:rFonts w:ascii="Arial" w:eastAsia="Times New Roman" w:hAnsi="Arial" w:cs="Arial"/>
                <w:lang w:eastAsia="en-GB"/>
              </w:rPr>
              <w:t>165</w:t>
            </w:r>
          </w:p>
        </w:tc>
      </w:tr>
      <w:tr w:rsidR="009B5CB2" w:rsidRPr="009B5CB2" w14:paraId="2904256A" w14:textId="77777777" w:rsidTr="009B5CB2">
        <w:trPr>
          <w:trHeight w:val="450"/>
        </w:trPr>
        <w:tc>
          <w:tcPr>
            <w:tcW w:w="4820" w:type="dxa"/>
            <w:tcBorders>
              <w:top w:val="nil"/>
              <w:left w:val="single" w:sz="4" w:space="0" w:color="auto"/>
              <w:bottom w:val="nil"/>
              <w:right w:val="nil"/>
            </w:tcBorders>
            <w:shd w:val="clear" w:color="auto" w:fill="auto"/>
            <w:vAlign w:val="center"/>
            <w:hideMark/>
          </w:tcPr>
          <w:p w14:paraId="5937C52D" w14:textId="77777777" w:rsidR="009B5CB2" w:rsidRPr="009B5CB2" w:rsidRDefault="009B5CB2" w:rsidP="009B5CB2">
            <w:pPr>
              <w:spacing w:after="0" w:line="240" w:lineRule="auto"/>
              <w:rPr>
                <w:rFonts w:ascii="Arial" w:eastAsia="Times New Roman" w:hAnsi="Arial" w:cs="Arial"/>
                <w:lang w:eastAsia="en-GB"/>
              </w:rPr>
            </w:pPr>
            <w:r w:rsidRPr="009B5CB2">
              <w:rPr>
                <w:rFonts w:ascii="Arial" w:eastAsia="Times New Roman" w:hAnsi="Arial" w:cs="Arial"/>
                <w:lang w:eastAsia="en-GB"/>
              </w:rPr>
              <w:t>New donations</w:t>
            </w:r>
          </w:p>
        </w:tc>
        <w:tc>
          <w:tcPr>
            <w:tcW w:w="1620" w:type="dxa"/>
            <w:tcBorders>
              <w:top w:val="nil"/>
              <w:left w:val="nil"/>
              <w:bottom w:val="nil"/>
              <w:right w:val="nil"/>
            </w:tcBorders>
            <w:shd w:val="clear" w:color="auto" w:fill="auto"/>
            <w:vAlign w:val="center"/>
            <w:hideMark/>
          </w:tcPr>
          <w:p w14:paraId="4B943493" w14:textId="77777777" w:rsidR="009B5CB2" w:rsidRPr="009B5CB2" w:rsidRDefault="009B5CB2" w:rsidP="009B5CB2">
            <w:pPr>
              <w:spacing w:after="0" w:line="240" w:lineRule="auto"/>
              <w:jc w:val="right"/>
              <w:rPr>
                <w:rFonts w:ascii="Arial" w:eastAsia="Times New Roman" w:hAnsi="Arial" w:cs="Arial"/>
                <w:lang w:eastAsia="en-GB"/>
              </w:rPr>
            </w:pPr>
            <w:r w:rsidRPr="009B5CB2">
              <w:rPr>
                <w:rFonts w:ascii="Arial" w:eastAsia="Times New Roman" w:hAnsi="Arial" w:cs="Arial"/>
                <w:lang w:eastAsia="en-GB"/>
              </w:rPr>
              <w:t>36</w:t>
            </w:r>
          </w:p>
        </w:tc>
        <w:tc>
          <w:tcPr>
            <w:tcW w:w="1620" w:type="dxa"/>
            <w:tcBorders>
              <w:top w:val="nil"/>
              <w:left w:val="nil"/>
              <w:bottom w:val="nil"/>
              <w:right w:val="nil"/>
            </w:tcBorders>
            <w:shd w:val="clear" w:color="auto" w:fill="auto"/>
            <w:vAlign w:val="center"/>
            <w:hideMark/>
          </w:tcPr>
          <w:p w14:paraId="0FB1D475" w14:textId="77777777" w:rsidR="009B5CB2" w:rsidRPr="009B5CB2" w:rsidRDefault="009B5CB2" w:rsidP="009B5CB2">
            <w:pPr>
              <w:spacing w:after="0" w:line="240" w:lineRule="auto"/>
              <w:jc w:val="right"/>
              <w:rPr>
                <w:rFonts w:ascii="Arial" w:eastAsia="Times New Roman" w:hAnsi="Arial" w:cs="Arial"/>
                <w:lang w:eastAsia="en-GB"/>
              </w:rPr>
            </w:pPr>
            <w:r w:rsidRPr="009B5CB2">
              <w:rPr>
                <w:rFonts w:ascii="Arial" w:eastAsia="Times New Roman" w:hAnsi="Arial" w:cs="Arial"/>
                <w:lang w:eastAsia="en-GB"/>
              </w:rPr>
              <w:t>47</w:t>
            </w:r>
          </w:p>
        </w:tc>
        <w:tc>
          <w:tcPr>
            <w:tcW w:w="1620" w:type="dxa"/>
            <w:tcBorders>
              <w:top w:val="nil"/>
              <w:left w:val="nil"/>
              <w:bottom w:val="nil"/>
              <w:right w:val="nil"/>
            </w:tcBorders>
            <w:shd w:val="clear" w:color="auto" w:fill="auto"/>
            <w:vAlign w:val="center"/>
            <w:hideMark/>
          </w:tcPr>
          <w:p w14:paraId="343032F1" w14:textId="77777777" w:rsidR="009B5CB2" w:rsidRPr="009B5CB2" w:rsidRDefault="009B5CB2" w:rsidP="009B5CB2">
            <w:pPr>
              <w:spacing w:after="0" w:line="240" w:lineRule="auto"/>
              <w:jc w:val="right"/>
              <w:rPr>
                <w:rFonts w:ascii="Arial" w:eastAsia="Times New Roman" w:hAnsi="Arial" w:cs="Arial"/>
                <w:lang w:eastAsia="en-GB"/>
              </w:rPr>
            </w:pPr>
            <w:r w:rsidRPr="009B5CB2">
              <w:rPr>
                <w:rFonts w:ascii="Arial" w:eastAsia="Times New Roman" w:hAnsi="Arial" w:cs="Arial"/>
                <w:lang w:eastAsia="en-GB"/>
              </w:rPr>
              <w:t>167</w:t>
            </w:r>
          </w:p>
        </w:tc>
        <w:tc>
          <w:tcPr>
            <w:tcW w:w="1620" w:type="dxa"/>
            <w:tcBorders>
              <w:top w:val="nil"/>
              <w:left w:val="nil"/>
              <w:bottom w:val="nil"/>
              <w:right w:val="nil"/>
            </w:tcBorders>
            <w:shd w:val="clear" w:color="auto" w:fill="auto"/>
            <w:vAlign w:val="center"/>
            <w:hideMark/>
          </w:tcPr>
          <w:p w14:paraId="381F285C" w14:textId="77777777" w:rsidR="009B5CB2" w:rsidRPr="009B5CB2" w:rsidRDefault="009B5CB2" w:rsidP="009B5CB2">
            <w:pPr>
              <w:spacing w:after="0" w:line="240" w:lineRule="auto"/>
              <w:jc w:val="right"/>
              <w:rPr>
                <w:rFonts w:ascii="Arial" w:eastAsia="Times New Roman" w:hAnsi="Arial" w:cs="Arial"/>
                <w:lang w:eastAsia="en-GB"/>
              </w:rPr>
            </w:pPr>
            <w:r w:rsidRPr="009B5CB2">
              <w:rPr>
                <w:rFonts w:ascii="Arial" w:eastAsia="Times New Roman" w:hAnsi="Arial" w:cs="Arial"/>
                <w:lang w:eastAsia="en-GB"/>
              </w:rPr>
              <w:t>5</w:t>
            </w:r>
          </w:p>
        </w:tc>
        <w:tc>
          <w:tcPr>
            <w:tcW w:w="1620" w:type="dxa"/>
            <w:tcBorders>
              <w:top w:val="nil"/>
              <w:left w:val="nil"/>
              <w:bottom w:val="nil"/>
              <w:right w:val="nil"/>
            </w:tcBorders>
            <w:shd w:val="clear" w:color="auto" w:fill="auto"/>
            <w:vAlign w:val="center"/>
            <w:hideMark/>
          </w:tcPr>
          <w:p w14:paraId="1E5C1EFA" w14:textId="77777777" w:rsidR="009B5CB2" w:rsidRPr="009B5CB2" w:rsidRDefault="009B5CB2" w:rsidP="009B5CB2">
            <w:pPr>
              <w:spacing w:after="0" w:line="240" w:lineRule="auto"/>
              <w:jc w:val="right"/>
              <w:rPr>
                <w:rFonts w:ascii="Arial" w:eastAsia="Times New Roman" w:hAnsi="Arial" w:cs="Arial"/>
                <w:lang w:eastAsia="en-GB"/>
              </w:rPr>
            </w:pPr>
            <w:r w:rsidRPr="009B5CB2">
              <w:rPr>
                <w:rFonts w:ascii="Arial" w:eastAsia="Times New Roman" w:hAnsi="Arial" w:cs="Arial"/>
                <w:lang w:eastAsia="en-GB"/>
              </w:rPr>
              <w:t>167</w:t>
            </w:r>
          </w:p>
        </w:tc>
        <w:tc>
          <w:tcPr>
            <w:tcW w:w="1620" w:type="dxa"/>
            <w:tcBorders>
              <w:top w:val="nil"/>
              <w:left w:val="nil"/>
              <w:bottom w:val="nil"/>
              <w:right w:val="single" w:sz="4" w:space="0" w:color="auto"/>
            </w:tcBorders>
            <w:shd w:val="clear" w:color="auto" w:fill="auto"/>
            <w:vAlign w:val="center"/>
            <w:hideMark/>
          </w:tcPr>
          <w:p w14:paraId="4F1D1038" w14:textId="77777777" w:rsidR="009B5CB2" w:rsidRPr="009B5CB2" w:rsidRDefault="009B5CB2" w:rsidP="009B5CB2">
            <w:pPr>
              <w:spacing w:after="0" w:line="240" w:lineRule="auto"/>
              <w:jc w:val="right"/>
              <w:rPr>
                <w:rFonts w:ascii="Arial" w:eastAsia="Times New Roman" w:hAnsi="Arial" w:cs="Arial"/>
                <w:lang w:eastAsia="en-GB"/>
              </w:rPr>
            </w:pPr>
            <w:r w:rsidRPr="009B5CB2">
              <w:rPr>
                <w:rFonts w:ascii="Arial" w:eastAsia="Times New Roman" w:hAnsi="Arial" w:cs="Arial"/>
                <w:lang w:eastAsia="en-GB"/>
              </w:rPr>
              <w:t>422</w:t>
            </w:r>
          </w:p>
        </w:tc>
      </w:tr>
      <w:tr w:rsidR="009B5CB2" w:rsidRPr="009B5CB2" w14:paraId="45649D4F" w14:textId="77777777" w:rsidTr="009B5CB2">
        <w:trPr>
          <w:trHeight w:val="450"/>
        </w:trPr>
        <w:tc>
          <w:tcPr>
            <w:tcW w:w="4820" w:type="dxa"/>
            <w:tcBorders>
              <w:top w:val="nil"/>
              <w:left w:val="single" w:sz="4" w:space="0" w:color="auto"/>
              <w:bottom w:val="nil"/>
              <w:right w:val="nil"/>
            </w:tcBorders>
            <w:shd w:val="clear" w:color="auto" w:fill="auto"/>
            <w:vAlign w:val="center"/>
            <w:hideMark/>
          </w:tcPr>
          <w:p w14:paraId="1F1C0AA8" w14:textId="77777777" w:rsidR="009B5CB2" w:rsidRPr="009B5CB2" w:rsidRDefault="009B5CB2" w:rsidP="009B5CB2">
            <w:pPr>
              <w:spacing w:after="0" w:line="240" w:lineRule="auto"/>
              <w:rPr>
                <w:rFonts w:ascii="Arial" w:eastAsia="Times New Roman" w:hAnsi="Arial" w:cs="Arial"/>
                <w:lang w:eastAsia="en-GB"/>
              </w:rPr>
            </w:pPr>
            <w:r w:rsidRPr="009B5CB2">
              <w:rPr>
                <w:rFonts w:ascii="Arial" w:eastAsia="Times New Roman" w:hAnsi="Arial" w:cs="Arial"/>
                <w:lang w:eastAsia="en-GB"/>
              </w:rPr>
              <w:t>New government capital grants</w:t>
            </w:r>
          </w:p>
        </w:tc>
        <w:tc>
          <w:tcPr>
            <w:tcW w:w="1620" w:type="dxa"/>
            <w:tcBorders>
              <w:top w:val="nil"/>
              <w:left w:val="nil"/>
              <w:bottom w:val="nil"/>
              <w:right w:val="nil"/>
            </w:tcBorders>
            <w:shd w:val="clear" w:color="auto" w:fill="auto"/>
            <w:vAlign w:val="center"/>
            <w:hideMark/>
          </w:tcPr>
          <w:p w14:paraId="11D19CE3" w14:textId="77777777" w:rsidR="009B5CB2" w:rsidRPr="009B5CB2" w:rsidRDefault="009B5CB2" w:rsidP="009B5CB2">
            <w:pPr>
              <w:spacing w:after="0" w:line="240" w:lineRule="auto"/>
              <w:jc w:val="right"/>
              <w:rPr>
                <w:rFonts w:ascii="Arial" w:eastAsia="Times New Roman" w:hAnsi="Arial" w:cs="Arial"/>
                <w:lang w:eastAsia="en-GB"/>
              </w:rPr>
            </w:pPr>
            <w:r w:rsidRPr="009B5CB2">
              <w:rPr>
                <w:rFonts w:ascii="Arial" w:eastAsia="Times New Roman" w:hAnsi="Arial" w:cs="Arial"/>
                <w:lang w:eastAsia="en-GB"/>
              </w:rPr>
              <w:t>86</w:t>
            </w:r>
          </w:p>
        </w:tc>
        <w:tc>
          <w:tcPr>
            <w:tcW w:w="1620" w:type="dxa"/>
            <w:tcBorders>
              <w:top w:val="nil"/>
              <w:left w:val="nil"/>
              <w:bottom w:val="nil"/>
              <w:right w:val="nil"/>
            </w:tcBorders>
            <w:shd w:val="clear" w:color="auto" w:fill="auto"/>
            <w:vAlign w:val="center"/>
            <w:hideMark/>
          </w:tcPr>
          <w:p w14:paraId="317C5960" w14:textId="77777777" w:rsidR="009B5CB2" w:rsidRPr="009B5CB2" w:rsidRDefault="009B5CB2" w:rsidP="009B5CB2">
            <w:pPr>
              <w:spacing w:after="0" w:line="240" w:lineRule="auto"/>
              <w:jc w:val="right"/>
              <w:rPr>
                <w:rFonts w:ascii="Arial" w:eastAsia="Times New Roman" w:hAnsi="Arial" w:cs="Arial"/>
                <w:lang w:eastAsia="en-GB"/>
              </w:rPr>
            </w:pPr>
            <w:r w:rsidRPr="009B5CB2">
              <w:rPr>
                <w:rFonts w:ascii="Arial" w:eastAsia="Times New Roman" w:hAnsi="Arial" w:cs="Arial"/>
                <w:lang w:eastAsia="en-GB"/>
              </w:rPr>
              <w:t>17</w:t>
            </w:r>
          </w:p>
        </w:tc>
        <w:tc>
          <w:tcPr>
            <w:tcW w:w="1620" w:type="dxa"/>
            <w:tcBorders>
              <w:top w:val="nil"/>
              <w:left w:val="nil"/>
              <w:bottom w:val="nil"/>
              <w:right w:val="nil"/>
            </w:tcBorders>
            <w:shd w:val="clear" w:color="auto" w:fill="auto"/>
            <w:vAlign w:val="center"/>
            <w:hideMark/>
          </w:tcPr>
          <w:p w14:paraId="0A7D9876" w14:textId="77777777" w:rsidR="009B5CB2" w:rsidRPr="009B5CB2" w:rsidRDefault="009B5CB2" w:rsidP="009B5CB2">
            <w:pPr>
              <w:spacing w:after="0" w:line="240" w:lineRule="auto"/>
              <w:jc w:val="right"/>
              <w:rPr>
                <w:rFonts w:ascii="Arial" w:eastAsia="Times New Roman" w:hAnsi="Arial" w:cs="Arial"/>
                <w:lang w:eastAsia="en-GB"/>
              </w:rPr>
            </w:pPr>
            <w:r w:rsidRPr="009B5CB2">
              <w:rPr>
                <w:rFonts w:ascii="Arial" w:eastAsia="Times New Roman" w:hAnsi="Arial" w:cs="Arial"/>
                <w:lang w:eastAsia="en-GB"/>
              </w:rPr>
              <w:t>389</w:t>
            </w:r>
          </w:p>
        </w:tc>
        <w:tc>
          <w:tcPr>
            <w:tcW w:w="1620" w:type="dxa"/>
            <w:tcBorders>
              <w:top w:val="nil"/>
              <w:left w:val="nil"/>
              <w:bottom w:val="nil"/>
              <w:right w:val="nil"/>
            </w:tcBorders>
            <w:shd w:val="clear" w:color="auto" w:fill="auto"/>
            <w:vAlign w:val="center"/>
            <w:hideMark/>
          </w:tcPr>
          <w:p w14:paraId="0F4E9F84" w14:textId="77777777" w:rsidR="009B5CB2" w:rsidRPr="009B5CB2" w:rsidRDefault="009B5CB2" w:rsidP="009B5CB2">
            <w:pPr>
              <w:spacing w:after="0" w:line="240" w:lineRule="auto"/>
              <w:jc w:val="right"/>
              <w:rPr>
                <w:rFonts w:ascii="Arial" w:eastAsia="Times New Roman" w:hAnsi="Arial" w:cs="Arial"/>
                <w:lang w:eastAsia="en-GB"/>
              </w:rPr>
            </w:pPr>
            <w:r w:rsidRPr="009B5CB2">
              <w:rPr>
                <w:rFonts w:ascii="Arial" w:eastAsia="Times New Roman" w:hAnsi="Arial" w:cs="Arial"/>
                <w:lang w:eastAsia="en-GB"/>
              </w:rPr>
              <w:t>25</w:t>
            </w:r>
          </w:p>
        </w:tc>
        <w:tc>
          <w:tcPr>
            <w:tcW w:w="1620" w:type="dxa"/>
            <w:tcBorders>
              <w:top w:val="nil"/>
              <w:left w:val="nil"/>
              <w:bottom w:val="nil"/>
              <w:right w:val="nil"/>
            </w:tcBorders>
            <w:shd w:val="clear" w:color="auto" w:fill="auto"/>
            <w:vAlign w:val="center"/>
            <w:hideMark/>
          </w:tcPr>
          <w:p w14:paraId="564A4AB7" w14:textId="77777777" w:rsidR="009B5CB2" w:rsidRPr="009B5CB2" w:rsidRDefault="009B5CB2" w:rsidP="009B5CB2">
            <w:pPr>
              <w:spacing w:after="0" w:line="240" w:lineRule="auto"/>
              <w:jc w:val="right"/>
              <w:rPr>
                <w:rFonts w:ascii="Arial" w:eastAsia="Times New Roman" w:hAnsi="Arial" w:cs="Arial"/>
                <w:lang w:eastAsia="en-GB"/>
              </w:rPr>
            </w:pPr>
            <w:r w:rsidRPr="009B5CB2">
              <w:rPr>
                <w:rFonts w:ascii="Arial" w:eastAsia="Times New Roman" w:hAnsi="Arial" w:cs="Arial"/>
                <w:lang w:eastAsia="en-GB"/>
              </w:rPr>
              <w:t>25</w:t>
            </w:r>
          </w:p>
        </w:tc>
        <w:tc>
          <w:tcPr>
            <w:tcW w:w="1620" w:type="dxa"/>
            <w:tcBorders>
              <w:top w:val="nil"/>
              <w:left w:val="nil"/>
              <w:bottom w:val="nil"/>
              <w:right w:val="single" w:sz="4" w:space="0" w:color="auto"/>
            </w:tcBorders>
            <w:shd w:val="clear" w:color="auto" w:fill="auto"/>
            <w:vAlign w:val="center"/>
            <w:hideMark/>
          </w:tcPr>
          <w:p w14:paraId="7B213E6C" w14:textId="77777777" w:rsidR="009B5CB2" w:rsidRPr="009B5CB2" w:rsidRDefault="009B5CB2" w:rsidP="009B5CB2">
            <w:pPr>
              <w:spacing w:after="0" w:line="240" w:lineRule="auto"/>
              <w:jc w:val="right"/>
              <w:rPr>
                <w:rFonts w:ascii="Arial" w:eastAsia="Times New Roman" w:hAnsi="Arial" w:cs="Arial"/>
                <w:lang w:eastAsia="en-GB"/>
              </w:rPr>
            </w:pPr>
            <w:r w:rsidRPr="009B5CB2">
              <w:rPr>
                <w:rFonts w:ascii="Arial" w:eastAsia="Times New Roman" w:hAnsi="Arial" w:cs="Arial"/>
                <w:lang w:eastAsia="en-GB"/>
              </w:rPr>
              <w:t>543</w:t>
            </w:r>
          </w:p>
        </w:tc>
      </w:tr>
      <w:tr w:rsidR="009B5CB2" w:rsidRPr="009B5CB2" w14:paraId="5C36A24A" w14:textId="77777777" w:rsidTr="009B5CB2">
        <w:trPr>
          <w:trHeight w:val="450"/>
        </w:trPr>
        <w:tc>
          <w:tcPr>
            <w:tcW w:w="4820" w:type="dxa"/>
            <w:tcBorders>
              <w:top w:val="nil"/>
              <w:left w:val="single" w:sz="4" w:space="0" w:color="auto"/>
              <w:bottom w:val="nil"/>
              <w:right w:val="nil"/>
            </w:tcBorders>
            <w:shd w:val="clear" w:color="auto" w:fill="auto"/>
            <w:vAlign w:val="center"/>
            <w:hideMark/>
          </w:tcPr>
          <w:p w14:paraId="3FF3C514" w14:textId="77777777" w:rsidR="009B5CB2" w:rsidRPr="009B5CB2" w:rsidRDefault="009B5CB2" w:rsidP="009B5CB2">
            <w:pPr>
              <w:spacing w:after="0" w:line="240" w:lineRule="auto"/>
              <w:rPr>
                <w:rFonts w:ascii="Arial" w:eastAsia="Times New Roman" w:hAnsi="Arial" w:cs="Arial"/>
                <w:lang w:eastAsia="en-GB"/>
              </w:rPr>
            </w:pPr>
            <w:r w:rsidRPr="009B5CB2">
              <w:rPr>
                <w:rFonts w:ascii="Arial" w:eastAsia="Times New Roman" w:hAnsi="Arial" w:cs="Arial"/>
                <w:lang w:eastAsia="en-GB"/>
              </w:rPr>
              <w:t>New non-government capital grants</w:t>
            </w:r>
          </w:p>
        </w:tc>
        <w:tc>
          <w:tcPr>
            <w:tcW w:w="1620" w:type="dxa"/>
            <w:tcBorders>
              <w:top w:val="nil"/>
              <w:left w:val="nil"/>
              <w:bottom w:val="nil"/>
              <w:right w:val="nil"/>
            </w:tcBorders>
            <w:shd w:val="clear" w:color="auto" w:fill="auto"/>
            <w:vAlign w:val="center"/>
            <w:hideMark/>
          </w:tcPr>
          <w:p w14:paraId="05DC60E4" w14:textId="77777777" w:rsidR="009B5CB2" w:rsidRPr="009B5CB2" w:rsidRDefault="009B5CB2" w:rsidP="009B5CB2">
            <w:pPr>
              <w:spacing w:after="0" w:line="240" w:lineRule="auto"/>
              <w:jc w:val="right"/>
              <w:rPr>
                <w:rFonts w:ascii="Arial" w:eastAsia="Times New Roman" w:hAnsi="Arial" w:cs="Arial"/>
                <w:lang w:eastAsia="en-GB"/>
              </w:rPr>
            </w:pPr>
            <w:r w:rsidRPr="009B5CB2">
              <w:rPr>
                <w:rFonts w:ascii="Arial" w:eastAsia="Times New Roman" w:hAnsi="Arial" w:cs="Arial"/>
                <w:lang w:eastAsia="en-GB"/>
              </w:rPr>
              <w:t>19</w:t>
            </w:r>
          </w:p>
        </w:tc>
        <w:tc>
          <w:tcPr>
            <w:tcW w:w="1620" w:type="dxa"/>
            <w:tcBorders>
              <w:top w:val="nil"/>
              <w:left w:val="nil"/>
              <w:bottom w:val="nil"/>
              <w:right w:val="nil"/>
            </w:tcBorders>
            <w:shd w:val="clear" w:color="auto" w:fill="auto"/>
            <w:vAlign w:val="center"/>
            <w:hideMark/>
          </w:tcPr>
          <w:p w14:paraId="727DCF62" w14:textId="77777777" w:rsidR="009B5CB2" w:rsidRPr="009B5CB2" w:rsidRDefault="009B5CB2" w:rsidP="009B5CB2">
            <w:pPr>
              <w:spacing w:after="0" w:line="240" w:lineRule="auto"/>
              <w:jc w:val="right"/>
              <w:rPr>
                <w:rFonts w:ascii="Arial" w:eastAsia="Times New Roman" w:hAnsi="Arial" w:cs="Arial"/>
                <w:lang w:eastAsia="en-GB"/>
              </w:rPr>
            </w:pPr>
            <w:r w:rsidRPr="009B5CB2">
              <w:rPr>
                <w:rFonts w:ascii="Arial" w:eastAsia="Times New Roman" w:hAnsi="Arial" w:cs="Arial"/>
                <w:lang w:eastAsia="en-GB"/>
              </w:rPr>
              <w:t>8</w:t>
            </w:r>
          </w:p>
        </w:tc>
        <w:tc>
          <w:tcPr>
            <w:tcW w:w="1620" w:type="dxa"/>
            <w:tcBorders>
              <w:top w:val="nil"/>
              <w:left w:val="nil"/>
              <w:bottom w:val="nil"/>
              <w:right w:val="nil"/>
            </w:tcBorders>
            <w:shd w:val="clear" w:color="auto" w:fill="auto"/>
            <w:vAlign w:val="center"/>
            <w:hideMark/>
          </w:tcPr>
          <w:p w14:paraId="5F89EA85" w14:textId="77777777" w:rsidR="009B5CB2" w:rsidRPr="009B5CB2" w:rsidRDefault="009B5CB2" w:rsidP="009B5CB2">
            <w:pPr>
              <w:spacing w:after="0" w:line="240" w:lineRule="auto"/>
              <w:jc w:val="right"/>
              <w:rPr>
                <w:rFonts w:ascii="Arial" w:eastAsia="Times New Roman" w:hAnsi="Arial" w:cs="Arial"/>
                <w:lang w:eastAsia="en-GB"/>
              </w:rPr>
            </w:pPr>
            <w:r w:rsidRPr="009B5CB2">
              <w:rPr>
                <w:rFonts w:ascii="Arial" w:eastAsia="Times New Roman" w:hAnsi="Arial" w:cs="Arial"/>
                <w:lang w:eastAsia="en-GB"/>
              </w:rPr>
              <w:t>62</w:t>
            </w:r>
          </w:p>
        </w:tc>
        <w:tc>
          <w:tcPr>
            <w:tcW w:w="1620" w:type="dxa"/>
            <w:tcBorders>
              <w:top w:val="nil"/>
              <w:left w:val="nil"/>
              <w:bottom w:val="nil"/>
              <w:right w:val="nil"/>
            </w:tcBorders>
            <w:shd w:val="clear" w:color="auto" w:fill="auto"/>
            <w:vAlign w:val="center"/>
            <w:hideMark/>
          </w:tcPr>
          <w:p w14:paraId="48F6DD56" w14:textId="77777777" w:rsidR="009B5CB2" w:rsidRPr="009B5CB2" w:rsidRDefault="009B5CB2" w:rsidP="009B5CB2">
            <w:pPr>
              <w:spacing w:after="0" w:line="240" w:lineRule="auto"/>
              <w:jc w:val="right"/>
              <w:rPr>
                <w:rFonts w:ascii="Arial" w:eastAsia="Times New Roman" w:hAnsi="Arial" w:cs="Arial"/>
                <w:lang w:eastAsia="en-GB"/>
              </w:rPr>
            </w:pPr>
            <w:r w:rsidRPr="009B5CB2">
              <w:rPr>
                <w:rFonts w:ascii="Arial" w:eastAsia="Times New Roman" w:hAnsi="Arial" w:cs="Arial"/>
                <w:lang w:eastAsia="en-GB"/>
              </w:rPr>
              <w:t>20</w:t>
            </w:r>
          </w:p>
        </w:tc>
        <w:tc>
          <w:tcPr>
            <w:tcW w:w="1620" w:type="dxa"/>
            <w:tcBorders>
              <w:top w:val="nil"/>
              <w:left w:val="nil"/>
              <w:bottom w:val="nil"/>
              <w:right w:val="nil"/>
            </w:tcBorders>
            <w:shd w:val="clear" w:color="auto" w:fill="auto"/>
            <w:vAlign w:val="center"/>
            <w:hideMark/>
          </w:tcPr>
          <w:p w14:paraId="41961119" w14:textId="77777777" w:rsidR="009B5CB2" w:rsidRPr="009B5CB2" w:rsidRDefault="009B5CB2" w:rsidP="009B5CB2">
            <w:pPr>
              <w:spacing w:after="0" w:line="240" w:lineRule="auto"/>
              <w:jc w:val="right"/>
              <w:rPr>
                <w:rFonts w:ascii="Arial" w:eastAsia="Times New Roman" w:hAnsi="Arial" w:cs="Arial"/>
                <w:lang w:eastAsia="en-GB"/>
              </w:rPr>
            </w:pPr>
            <w:r w:rsidRPr="009B5CB2">
              <w:rPr>
                <w:rFonts w:ascii="Arial" w:eastAsia="Times New Roman" w:hAnsi="Arial" w:cs="Arial"/>
                <w:lang w:eastAsia="en-GB"/>
              </w:rPr>
              <w:t>24</w:t>
            </w:r>
          </w:p>
        </w:tc>
        <w:tc>
          <w:tcPr>
            <w:tcW w:w="1620" w:type="dxa"/>
            <w:tcBorders>
              <w:top w:val="nil"/>
              <w:left w:val="nil"/>
              <w:bottom w:val="nil"/>
              <w:right w:val="single" w:sz="4" w:space="0" w:color="auto"/>
            </w:tcBorders>
            <w:shd w:val="clear" w:color="auto" w:fill="auto"/>
            <w:vAlign w:val="center"/>
            <w:hideMark/>
          </w:tcPr>
          <w:p w14:paraId="351AB24A" w14:textId="77777777" w:rsidR="009B5CB2" w:rsidRPr="009B5CB2" w:rsidRDefault="009B5CB2" w:rsidP="009B5CB2">
            <w:pPr>
              <w:spacing w:after="0" w:line="240" w:lineRule="auto"/>
              <w:jc w:val="right"/>
              <w:rPr>
                <w:rFonts w:ascii="Arial" w:eastAsia="Times New Roman" w:hAnsi="Arial" w:cs="Arial"/>
                <w:lang w:eastAsia="en-GB"/>
              </w:rPr>
            </w:pPr>
            <w:r w:rsidRPr="009B5CB2">
              <w:rPr>
                <w:rFonts w:ascii="Arial" w:eastAsia="Times New Roman" w:hAnsi="Arial" w:cs="Arial"/>
                <w:lang w:eastAsia="en-GB"/>
              </w:rPr>
              <w:t>133</w:t>
            </w:r>
          </w:p>
        </w:tc>
      </w:tr>
      <w:tr w:rsidR="009B5CB2" w:rsidRPr="009B5CB2" w14:paraId="4CE5D45A" w14:textId="77777777" w:rsidTr="009B5CB2">
        <w:trPr>
          <w:trHeight w:val="450"/>
        </w:trPr>
        <w:tc>
          <w:tcPr>
            <w:tcW w:w="4820" w:type="dxa"/>
            <w:tcBorders>
              <w:top w:val="nil"/>
              <w:left w:val="single" w:sz="4" w:space="0" w:color="auto"/>
              <w:bottom w:val="single" w:sz="4" w:space="0" w:color="auto"/>
              <w:right w:val="nil"/>
            </w:tcBorders>
            <w:shd w:val="clear" w:color="auto" w:fill="auto"/>
            <w:vAlign w:val="center"/>
            <w:hideMark/>
          </w:tcPr>
          <w:p w14:paraId="36FCCFD1" w14:textId="77777777" w:rsidR="009B5CB2" w:rsidRPr="009B5CB2" w:rsidRDefault="009B5CB2" w:rsidP="009B5CB2">
            <w:pPr>
              <w:spacing w:after="0" w:line="240" w:lineRule="auto"/>
              <w:rPr>
                <w:rFonts w:ascii="Arial" w:eastAsia="Times New Roman" w:hAnsi="Arial" w:cs="Arial"/>
                <w:lang w:eastAsia="en-GB"/>
              </w:rPr>
            </w:pPr>
            <w:r w:rsidRPr="009B5CB2">
              <w:rPr>
                <w:rFonts w:ascii="Arial" w:eastAsia="Times New Roman" w:hAnsi="Arial" w:cs="Arial"/>
                <w:lang w:eastAsia="en-GB"/>
              </w:rPr>
              <w:t>Other material items</w:t>
            </w:r>
          </w:p>
        </w:tc>
        <w:tc>
          <w:tcPr>
            <w:tcW w:w="1620" w:type="dxa"/>
            <w:tcBorders>
              <w:top w:val="nil"/>
              <w:left w:val="nil"/>
              <w:bottom w:val="single" w:sz="4" w:space="0" w:color="auto"/>
              <w:right w:val="nil"/>
            </w:tcBorders>
            <w:shd w:val="clear" w:color="auto" w:fill="auto"/>
            <w:vAlign w:val="center"/>
            <w:hideMark/>
          </w:tcPr>
          <w:p w14:paraId="1BBD6416" w14:textId="77777777" w:rsidR="009B5CB2" w:rsidRPr="009B5CB2" w:rsidRDefault="009B5CB2" w:rsidP="009B5CB2">
            <w:pPr>
              <w:spacing w:after="0" w:line="240" w:lineRule="auto"/>
              <w:jc w:val="right"/>
              <w:rPr>
                <w:rFonts w:ascii="Arial" w:eastAsia="Times New Roman" w:hAnsi="Arial" w:cs="Arial"/>
                <w:lang w:eastAsia="en-GB"/>
              </w:rPr>
            </w:pPr>
            <w:r w:rsidRPr="009B5CB2">
              <w:rPr>
                <w:rFonts w:ascii="Arial" w:eastAsia="Times New Roman" w:hAnsi="Arial" w:cs="Arial"/>
                <w:lang w:eastAsia="en-GB"/>
              </w:rPr>
              <w:t>3</w:t>
            </w:r>
          </w:p>
        </w:tc>
        <w:tc>
          <w:tcPr>
            <w:tcW w:w="1620" w:type="dxa"/>
            <w:tcBorders>
              <w:top w:val="nil"/>
              <w:left w:val="nil"/>
              <w:bottom w:val="single" w:sz="4" w:space="0" w:color="auto"/>
              <w:right w:val="nil"/>
            </w:tcBorders>
            <w:shd w:val="clear" w:color="auto" w:fill="auto"/>
            <w:vAlign w:val="center"/>
            <w:hideMark/>
          </w:tcPr>
          <w:p w14:paraId="4BB56DB1" w14:textId="77777777" w:rsidR="009B5CB2" w:rsidRPr="009B5CB2" w:rsidRDefault="009B5CB2" w:rsidP="009B5CB2">
            <w:pPr>
              <w:spacing w:after="0" w:line="240" w:lineRule="auto"/>
              <w:jc w:val="right"/>
              <w:rPr>
                <w:rFonts w:ascii="Arial" w:eastAsia="Times New Roman" w:hAnsi="Arial" w:cs="Arial"/>
                <w:lang w:eastAsia="en-GB"/>
              </w:rPr>
            </w:pPr>
            <w:r w:rsidRPr="009B5CB2">
              <w:rPr>
                <w:rFonts w:ascii="Arial" w:eastAsia="Times New Roman" w:hAnsi="Arial" w:cs="Arial"/>
                <w:lang w:eastAsia="en-GB"/>
              </w:rPr>
              <w:t>1</w:t>
            </w:r>
          </w:p>
        </w:tc>
        <w:tc>
          <w:tcPr>
            <w:tcW w:w="1620" w:type="dxa"/>
            <w:tcBorders>
              <w:top w:val="nil"/>
              <w:left w:val="nil"/>
              <w:bottom w:val="single" w:sz="4" w:space="0" w:color="auto"/>
              <w:right w:val="nil"/>
            </w:tcBorders>
            <w:shd w:val="clear" w:color="auto" w:fill="auto"/>
            <w:vAlign w:val="center"/>
            <w:hideMark/>
          </w:tcPr>
          <w:p w14:paraId="0A3E0701" w14:textId="77777777" w:rsidR="009B5CB2" w:rsidRPr="009B5CB2" w:rsidRDefault="009B5CB2" w:rsidP="009B5CB2">
            <w:pPr>
              <w:spacing w:after="0" w:line="240" w:lineRule="auto"/>
              <w:jc w:val="right"/>
              <w:rPr>
                <w:rFonts w:ascii="Arial" w:eastAsia="Times New Roman" w:hAnsi="Arial" w:cs="Arial"/>
                <w:lang w:eastAsia="en-GB"/>
              </w:rPr>
            </w:pPr>
            <w:r w:rsidRPr="009B5CB2">
              <w:rPr>
                <w:rFonts w:ascii="Arial" w:eastAsia="Times New Roman" w:hAnsi="Arial" w:cs="Arial"/>
                <w:lang w:eastAsia="en-GB"/>
              </w:rPr>
              <w:t>1</w:t>
            </w:r>
          </w:p>
        </w:tc>
        <w:tc>
          <w:tcPr>
            <w:tcW w:w="1620" w:type="dxa"/>
            <w:tcBorders>
              <w:top w:val="nil"/>
              <w:left w:val="nil"/>
              <w:bottom w:val="single" w:sz="4" w:space="0" w:color="auto"/>
              <w:right w:val="nil"/>
            </w:tcBorders>
            <w:shd w:val="clear" w:color="auto" w:fill="auto"/>
            <w:vAlign w:val="center"/>
            <w:hideMark/>
          </w:tcPr>
          <w:p w14:paraId="089F73D4" w14:textId="77777777" w:rsidR="009B5CB2" w:rsidRPr="009B5CB2" w:rsidRDefault="009B5CB2" w:rsidP="009B5CB2">
            <w:pPr>
              <w:spacing w:after="0" w:line="240" w:lineRule="auto"/>
              <w:jc w:val="right"/>
              <w:rPr>
                <w:rFonts w:ascii="Arial" w:eastAsia="Times New Roman" w:hAnsi="Arial" w:cs="Arial"/>
                <w:lang w:eastAsia="en-GB"/>
              </w:rPr>
            </w:pPr>
            <w:r w:rsidRPr="009B5CB2">
              <w:rPr>
                <w:rFonts w:ascii="Arial" w:eastAsia="Times New Roman" w:hAnsi="Arial" w:cs="Arial"/>
                <w:lang w:eastAsia="en-GB"/>
              </w:rPr>
              <w:t>16</w:t>
            </w:r>
          </w:p>
        </w:tc>
        <w:tc>
          <w:tcPr>
            <w:tcW w:w="1620" w:type="dxa"/>
            <w:tcBorders>
              <w:top w:val="nil"/>
              <w:left w:val="nil"/>
              <w:bottom w:val="single" w:sz="4" w:space="0" w:color="auto"/>
              <w:right w:val="nil"/>
            </w:tcBorders>
            <w:shd w:val="clear" w:color="auto" w:fill="auto"/>
            <w:vAlign w:val="center"/>
            <w:hideMark/>
          </w:tcPr>
          <w:p w14:paraId="682B43E9" w14:textId="77777777" w:rsidR="009B5CB2" w:rsidRPr="009B5CB2" w:rsidRDefault="009B5CB2" w:rsidP="009B5CB2">
            <w:pPr>
              <w:spacing w:after="0" w:line="240" w:lineRule="auto"/>
              <w:jc w:val="right"/>
              <w:rPr>
                <w:rFonts w:ascii="Arial" w:eastAsia="Times New Roman" w:hAnsi="Arial" w:cs="Arial"/>
                <w:lang w:eastAsia="en-GB"/>
              </w:rPr>
            </w:pPr>
            <w:r w:rsidRPr="009B5CB2">
              <w:rPr>
                <w:rFonts w:ascii="Arial" w:eastAsia="Times New Roman" w:hAnsi="Arial" w:cs="Arial"/>
                <w:lang w:eastAsia="en-GB"/>
              </w:rPr>
              <w:t>23</w:t>
            </w:r>
          </w:p>
        </w:tc>
        <w:tc>
          <w:tcPr>
            <w:tcW w:w="1620" w:type="dxa"/>
            <w:tcBorders>
              <w:top w:val="nil"/>
              <w:left w:val="nil"/>
              <w:bottom w:val="single" w:sz="4" w:space="0" w:color="auto"/>
              <w:right w:val="single" w:sz="4" w:space="0" w:color="auto"/>
            </w:tcBorders>
            <w:shd w:val="clear" w:color="auto" w:fill="auto"/>
            <w:vAlign w:val="center"/>
            <w:hideMark/>
          </w:tcPr>
          <w:p w14:paraId="5ED92ED0" w14:textId="77777777" w:rsidR="009B5CB2" w:rsidRPr="009B5CB2" w:rsidRDefault="009B5CB2" w:rsidP="009B5CB2">
            <w:pPr>
              <w:spacing w:after="0" w:line="240" w:lineRule="auto"/>
              <w:jc w:val="right"/>
              <w:rPr>
                <w:rFonts w:ascii="Arial" w:eastAsia="Times New Roman" w:hAnsi="Arial" w:cs="Arial"/>
                <w:lang w:eastAsia="en-GB"/>
              </w:rPr>
            </w:pPr>
            <w:r w:rsidRPr="009B5CB2">
              <w:rPr>
                <w:rFonts w:ascii="Arial" w:eastAsia="Times New Roman" w:hAnsi="Arial" w:cs="Arial"/>
                <w:lang w:eastAsia="en-GB"/>
              </w:rPr>
              <w:t>43</w:t>
            </w:r>
          </w:p>
        </w:tc>
      </w:tr>
      <w:tr w:rsidR="009B5CB2" w:rsidRPr="009B5CB2" w14:paraId="7150329E" w14:textId="77777777" w:rsidTr="009B5CB2">
        <w:trPr>
          <w:trHeight w:val="450"/>
        </w:trPr>
        <w:tc>
          <w:tcPr>
            <w:tcW w:w="4820" w:type="dxa"/>
            <w:tcBorders>
              <w:top w:val="nil"/>
              <w:left w:val="single" w:sz="4" w:space="0" w:color="auto"/>
              <w:bottom w:val="single" w:sz="4" w:space="0" w:color="auto"/>
              <w:right w:val="nil"/>
            </w:tcBorders>
            <w:shd w:val="clear" w:color="auto" w:fill="auto"/>
            <w:vAlign w:val="center"/>
            <w:hideMark/>
          </w:tcPr>
          <w:p w14:paraId="28106507" w14:textId="77777777" w:rsidR="009B5CB2" w:rsidRPr="009B5CB2" w:rsidRDefault="009B5CB2" w:rsidP="009B5CB2">
            <w:pPr>
              <w:spacing w:after="0" w:line="240" w:lineRule="auto"/>
              <w:rPr>
                <w:rFonts w:ascii="Arial" w:eastAsia="Times New Roman" w:hAnsi="Arial" w:cs="Arial"/>
                <w:lang w:eastAsia="en-GB"/>
              </w:rPr>
            </w:pPr>
            <w:r w:rsidRPr="009B5CB2">
              <w:rPr>
                <w:rFonts w:ascii="Arial" w:eastAsia="Times New Roman" w:hAnsi="Arial" w:cs="Arial"/>
                <w:lang w:eastAsia="en-GB"/>
              </w:rPr>
              <w:t>Total income items</w:t>
            </w:r>
          </w:p>
        </w:tc>
        <w:tc>
          <w:tcPr>
            <w:tcW w:w="1620" w:type="dxa"/>
            <w:tcBorders>
              <w:top w:val="nil"/>
              <w:left w:val="nil"/>
              <w:bottom w:val="single" w:sz="4" w:space="0" w:color="auto"/>
              <w:right w:val="nil"/>
            </w:tcBorders>
            <w:shd w:val="clear" w:color="auto" w:fill="auto"/>
            <w:vAlign w:val="center"/>
            <w:hideMark/>
          </w:tcPr>
          <w:p w14:paraId="18007957" w14:textId="77777777" w:rsidR="009B5CB2" w:rsidRPr="009B5CB2" w:rsidRDefault="009B5CB2" w:rsidP="009B5CB2">
            <w:pPr>
              <w:spacing w:after="0" w:line="240" w:lineRule="auto"/>
              <w:jc w:val="right"/>
              <w:rPr>
                <w:rFonts w:ascii="Arial" w:eastAsia="Times New Roman" w:hAnsi="Arial" w:cs="Arial"/>
                <w:lang w:eastAsia="en-GB"/>
              </w:rPr>
            </w:pPr>
            <w:r w:rsidRPr="009B5CB2">
              <w:rPr>
                <w:rFonts w:ascii="Arial" w:eastAsia="Times New Roman" w:hAnsi="Arial" w:cs="Arial"/>
                <w:lang w:eastAsia="en-GB"/>
              </w:rPr>
              <w:t>149</w:t>
            </w:r>
          </w:p>
        </w:tc>
        <w:tc>
          <w:tcPr>
            <w:tcW w:w="1620" w:type="dxa"/>
            <w:tcBorders>
              <w:top w:val="nil"/>
              <w:left w:val="nil"/>
              <w:bottom w:val="single" w:sz="4" w:space="0" w:color="auto"/>
              <w:right w:val="nil"/>
            </w:tcBorders>
            <w:shd w:val="clear" w:color="auto" w:fill="auto"/>
            <w:vAlign w:val="center"/>
            <w:hideMark/>
          </w:tcPr>
          <w:p w14:paraId="653BB022" w14:textId="77777777" w:rsidR="009B5CB2" w:rsidRPr="009B5CB2" w:rsidRDefault="009B5CB2" w:rsidP="009B5CB2">
            <w:pPr>
              <w:spacing w:after="0" w:line="240" w:lineRule="auto"/>
              <w:jc w:val="right"/>
              <w:rPr>
                <w:rFonts w:ascii="Arial" w:eastAsia="Times New Roman" w:hAnsi="Arial" w:cs="Arial"/>
                <w:lang w:eastAsia="en-GB"/>
              </w:rPr>
            </w:pPr>
            <w:r w:rsidRPr="009B5CB2">
              <w:rPr>
                <w:rFonts w:ascii="Arial" w:eastAsia="Times New Roman" w:hAnsi="Arial" w:cs="Arial"/>
                <w:lang w:eastAsia="en-GB"/>
              </w:rPr>
              <w:t>122</w:t>
            </w:r>
          </w:p>
        </w:tc>
        <w:tc>
          <w:tcPr>
            <w:tcW w:w="1620" w:type="dxa"/>
            <w:tcBorders>
              <w:top w:val="nil"/>
              <w:left w:val="nil"/>
              <w:bottom w:val="single" w:sz="4" w:space="0" w:color="auto"/>
              <w:right w:val="nil"/>
            </w:tcBorders>
            <w:shd w:val="clear" w:color="auto" w:fill="auto"/>
            <w:vAlign w:val="center"/>
            <w:hideMark/>
          </w:tcPr>
          <w:p w14:paraId="3DE0E4AA" w14:textId="77777777" w:rsidR="009B5CB2" w:rsidRPr="009B5CB2" w:rsidRDefault="009B5CB2" w:rsidP="009B5CB2">
            <w:pPr>
              <w:spacing w:after="0" w:line="240" w:lineRule="auto"/>
              <w:jc w:val="right"/>
              <w:rPr>
                <w:rFonts w:ascii="Arial" w:eastAsia="Times New Roman" w:hAnsi="Arial" w:cs="Arial"/>
                <w:lang w:eastAsia="en-GB"/>
              </w:rPr>
            </w:pPr>
            <w:r w:rsidRPr="009B5CB2">
              <w:rPr>
                <w:rFonts w:ascii="Arial" w:eastAsia="Times New Roman" w:hAnsi="Arial" w:cs="Arial"/>
                <w:lang w:eastAsia="en-GB"/>
              </w:rPr>
              <w:t>697</w:t>
            </w:r>
          </w:p>
        </w:tc>
        <w:tc>
          <w:tcPr>
            <w:tcW w:w="1620" w:type="dxa"/>
            <w:tcBorders>
              <w:top w:val="nil"/>
              <w:left w:val="nil"/>
              <w:bottom w:val="single" w:sz="4" w:space="0" w:color="auto"/>
              <w:right w:val="nil"/>
            </w:tcBorders>
            <w:shd w:val="clear" w:color="auto" w:fill="auto"/>
            <w:vAlign w:val="center"/>
            <w:hideMark/>
          </w:tcPr>
          <w:p w14:paraId="77B11F34" w14:textId="77777777" w:rsidR="009B5CB2" w:rsidRPr="009B5CB2" w:rsidRDefault="009B5CB2" w:rsidP="009B5CB2">
            <w:pPr>
              <w:spacing w:after="0" w:line="240" w:lineRule="auto"/>
              <w:jc w:val="right"/>
              <w:rPr>
                <w:rFonts w:ascii="Arial" w:eastAsia="Times New Roman" w:hAnsi="Arial" w:cs="Arial"/>
                <w:lang w:eastAsia="en-GB"/>
              </w:rPr>
            </w:pPr>
            <w:r w:rsidRPr="009B5CB2">
              <w:rPr>
                <w:rFonts w:ascii="Arial" w:eastAsia="Times New Roman" w:hAnsi="Arial" w:cs="Arial"/>
                <w:lang w:eastAsia="en-GB"/>
              </w:rPr>
              <w:t>68</w:t>
            </w:r>
          </w:p>
        </w:tc>
        <w:tc>
          <w:tcPr>
            <w:tcW w:w="1620" w:type="dxa"/>
            <w:tcBorders>
              <w:top w:val="nil"/>
              <w:left w:val="nil"/>
              <w:bottom w:val="single" w:sz="4" w:space="0" w:color="auto"/>
              <w:right w:val="nil"/>
            </w:tcBorders>
            <w:shd w:val="clear" w:color="auto" w:fill="auto"/>
            <w:vAlign w:val="center"/>
            <w:hideMark/>
          </w:tcPr>
          <w:p w14:paraId="6106F8BD" w14:textId="77777777" w:rsidR="009B5CB2" w:rsidRPr="009B5CB2" w:rsidRDefault="009B5CB2" w:rsidP="009B5CB2">
            <w:pPr>
              <w:spacing w:after="0" w:line="240" w:lineRule="auto"/>
              <w:jc w:val="right"/>
              <w:rPr>
                <w:rFonts w:ascii="Arial" w:eastAsia="Times New Roman" w:hAnsi="Arial" w:cs="Arial"/>
                <w:lang w:eastAsia="en-GB"/>
              </w:rPr>
            </w:pPr>
            <w:r w:rsidRPr="009B5CB2">
              <w:rPr>
                <w:rFonts w:ascii="Arial" w:eastAsia="Times New Roman" w:hAnsi="Arial" w:cs="Arial"/>
                <w:lang w:eastAsia="en-GB"/>
              </w:rPr>
              <w:t>270</w:t>
            </w:r>
          </w:p>
        </w:tc>
        <w:tc>
          <w:tcPr>
            <w:tcW w:w="1620" w:type="dxa"/>
            <w:tcBorders>
              <w:top w:val="nil"/>
              <w:left w:val="nil"/>
              <w:bottom w:val="single" w:sz="4" w:space="0" w:color="auto"/>
              <w:right w:val="single" w:sz="4" w:space="0" w:color="auto"/>
            </w:tcBorders>
            <w:shd w:val="clear" w:color="auto" w:fill="auto"/>
            <w:vAlign w:val="center"/>
            <w:hideMark/>
          </w:tcPr>
          <w:p w14:paraId="63814565" w14:textId="77777777" w:rsidR="009B5CB2" w:rsidRPr="009B5CB2" w:rsidRDefault="009B5CB2" w:rsidP="009B5CB2">
            <w:pPr>
              <w:spacing w:after="0" w:line="240" w:lineRule="auto"/>
              <w:jc w:val="right"/>
              <w:rPr>
                <w:rFonts w:ascii="Arial" w:eastAsia="Times New Roman" w:hAnsi="Arial" w:cs="Arial"/>
                <w:lang w:eastAsia="en-GB"/>
              </w:rPr>
            </w:pPr>
            <w:r w:rsidRPr="009B5CB2">
              <w:rPr>
                <w:rFonts w:ascii="Arial" w:eastAsia="Times New Roman" w:hAnsi="Arial" w:cs="Arial"/>
                <w:lang w:eastAsia="en-GB"/>
              </w:rPr>
              <w:t>1,306</w:t>
            </w:r>
          </w:p>
        </w:tc>
      </w:tr>
      <w:tr w:rsidR="009B5CB2" w:rsidRPr="009B5CB2" w14:paraId="03176D3E" w14:textId="77777777" w:rsidTr="009B5CB2">
        <w:trPr>
          <w:trHeight w:val="450"/>
        </w:trPr>
        <w:tc>
          <w:tcPr>
            <w:tcW w:w="4820" w:type="dxa"/>
            <w:tcBorders>
              <w:top w:val="nil"/>
              <w:left w:val="single" w:sz="4" w:space="0" w:color="auto"/>
              <w:bottom w:val="single" w:sz="4" w:space="0" w:color="auto"/>
              <w:right w:val="nil"/>
            </w:tcBorders>
            <w:shd w:val="clear" w:color="auto" w:fill="auto"/>
            <w:vAlign w:val="center"/>
            <w:hideMark/>
          </w:tcPr>
          <w:p w14:paraId="2CB2CC10" w14:textId="77777777" w:rsidR="009B5CB2" w:rsidRPr="00BA477F" w:rsidRDefault="009B5CB2" w:rsidP="009B5CB2">
            <w:pPr>
              <w:spacing w:after="0" w:line="240" w:lineRule="auto"/>
              <w:rPr>
                <w:rFonts w:ascii="Arial" w:eastAsia="Times New Roman" w:hAnsi="Arial" w:cs="Arial"/>
                <w:lang w:eastAsia="en-GB"/>
              </w:rPr>
            </w:pPr>
            <w:r w:rsidRPr="00BA477F">
              <w:rPr>
                <w:rFonts w:ascii="Arial" w:eastAsia="Times New Roman" w:hAnsi="Arial" w:cs="Arial"/>
                <w:lang w:eastAsia="en-GB"/>
              </w:rPr>
              <w:t>Total as % of income</w:t>
            </w:r>
          </w:p>
        </w:tc>
        <w:tc>
          <w:tcPr>
            <w:tcW w:w="1620" w:type="dxa"/>
            <w:tcBorders>
              <w:top w:val="nil"/>
              <w:left w:val="nil"/>
              <w:bottom w:val="single" w:sz="4" w:space="0" w:color="auto"/>
              <w:right w:val="nil"/>
            </w:tcBorders>
            <w:shd w:val="clear" w:color="auto" w:fill="auto"/>
            <w:vAlign w:val="center"/>
            <w:hideMark/>
          </w:tcPr>
          <w:p w14:paraId="624B549B" w14:textId="77777777" w:rsidR="009B5CB2" w:rsidRPr="00BA477F" w:rsidRDefault="009B5CB2" w:rsidP="009B5CB2">
            <w:pPr>
              <w:spacing w:after="0" w:line="240" w:lineRule="auto"/>
              <w:jc w:val="right"/>
              <w:rPr>
                <w:rFonts w:ascii="Arial" w:eastAsia="Times New Roman" w:hAnsi="Arial" w:cs="Arial"/>
                <w:lang w:eastAsia="en-GB"/>
              </w:rPr>
            </w:pPr>
            <w:r w:rsidRPr="00BA477F">
              <w:rPr>
                <w:rFonts w:ascii="Arial" w:eastAsia="Times New Roman" w:hAnsi="Arial" w:cs="Arial"/>
                <w:lang w:eastAsia="en-GB"/>
              </w:rPr>
              <w:t>1.0%</w:t>
            </w:r>
          </w:p>
        </w:tc>
        <w:tc>
          <w:tcPr>
            <w:tcW w:w="1620" w:type="dxa"/>
            <w:tcBorders>
              <w:top w:val="nil"/>
              <w:left w:val="nil"/>
              <w:bottom w:val="single" w:sz="4" w:space="0" w:color="auto"/>
              <w:right w:val="nil"/>
            </w:tcBorders>
            <w:shd w:val="clear" w:color="auto" w:fill="auto"/>
            <w:vAlign w:val="center"/>
            <w:hideMark/>
          </w:tcPr>
          <w:p w14:paraId="7EF9B37E" w14:textId="77777777" w:rsidR="009B5CB2" w:rsidRPr="00BA477F" w:rsidRDefault="009B5CB2" w:rsidP="009B5CB2">
            <w:pPr>
              <w:spacing w:after="0" w:line="240" w:lineRule="auto"/>
              <w:jc w:val="right"/>
              <w:rPr>
                <w:rFonts w:ascii="Arial" w:eastAsia="Times New Roman" w:hAnsi="Arial" w:cs="Arial"/>
                <w:lang w:eastAsia="en-GB"/>
              </w:rPr>
            </w:pPr>
            <w:r w:rsidRPr="00BA477F">
              <w:rPr>
                <w:rFonts w:ascii="Arial" w:eastAsia="Times New Roman" w:hAnsi="Arial" w:cs="Arial"/>
                <w:lang w:eastAsia="en-GB"/>
              </w:rPr>
              <w:t>1.9%</w:t>
            </w:r>
          </w:p>
        </w:tc>
        <w:tc>
          <w:tcPr>
            <w:tcW w:w="1620" w:type="dxa"/>
            <w:tcBorders>
              <w:top w:val="nil"/>
              <w:left w:val="nil"/>
              <w:bottom w:val="single" w:sz="4" w:space="0" w:color="auto"/>
              <w:right w:val="nil"/>
            </w:tcBorders>
            <w:shd w:val="clear" w:color="auto" w:fill="auto"/>
            <w:vAlign w:val="center"/>
            <w:hideMark/>
          </w:tcPr>
          <w:p w14:paraId="4C67EC46" w14:textId="77777777" w:rsidR="009B5CB2" w:rsidRPr="00BA477F" w:rsidRDefault="009B5CB2" w:rsidP="009B5CB2">
            <w:pPr>
              <w:spacing w:after="0" w:line="240" w:lineRule="auto"/>
              <w:jc w:val="right"/>
              <w:rPr>
                <w:rFonts w:ascii="Arial" w:eastAsia="Times New Roman" w:hAnsi="Arial" w:cs="Arial"/>
                <w:lang w:eastAsia="en-GB"/>
              </w:rPr>
            </w:pPr>
            <w:r w:rsidRPr="00BA477F">
              <w:rPr>
                <w:rFonts w:ascii="Arial" w:eastAsia="Times New Roman" w:hAnsi="Arial" w:cs="Arial"/>
                <w:lang w:eastAsia="en-GB"/>
              </w:rPr>
              <w:t>6.5%</w:t>
            </w:r>
          </w:p>
        </w:tc>
        <w:tc>
          <w:tcPr>
            <w:tcW w:w="1620" w:type="dxa"/>
            <w:tcBorders>
              <w:top w:val="nil"/>
              <w:left w:val="nil"/>
              <w:bottom w:val="single" w:sz="4" w:space="0" w:color="auto"/>
              <w:right w:val="nil"/>
            </w:tcBorders>
            <w:shd w:val="clear" w:color="auto" w:fill="auto"/>
            <w:vAlign w:val="center"/>
            <w:hideMark/>
          </w:tcPr>
          <w:p w14:paraId="49E00AE0" w14:textId="77777777" w:rsidR="009B5CB2" w:rsidRPr="00BA477F" w:rsidRDefault="009B5CB2" w:rsidP="009B5CB2">
            <w:pPr>
              <w:spacing w:after="0" w:line="240" w:lineRule="auto"/>
              <w:jc w:val="right"/>
              <w:rPr>
                <w:rFonts w:ascii="Arial" w:eastAsia="Times New Roman" w:hAnsi="Arial" w:cs="Arial"/>
                <w:lang w:eastAsia="en-GB"/>
              </w:rPr>
            </w:pPr>
            <w:r w:rsidRPr="00BA477F">
              <w:rPr>
                <w:rFonts w:ascii="Arial" w:eastAsia="Times New Roman" w:hAnsi="Arial" w:cs="Arial"/>
                <w:lang w:eastAsia="en-GB"/>
              </w:rPr>
              <w:t>1.0%</w:t>
            </w:r>
          </w:p>
        </w:tc>
        <w:tc>
          <w:tcPr>
            <w:tcW w:w="1620" w:type="dxa"/>
            <w:tcBorders>
              <w:top w:val="nil"/>
              <w:left w:val="nil"/>
              <w:bottom w:val="single" w:sz="4" w:space="0" w:color="auto"/>
              <w:right w:val="nil"/>
            </w:tcBorders>
            <w:shd w:val="clear" w:color="auto" w:fill="auto"/>
            <w:vAlign w:val="center"/>
            <w:hideMark/>
          </w:tcPr>
          <w:p w14:paraId="330E1E39" w14:textId="77777777" w:rsidR="009B5CB2" w:rsidRPr="00BA477F" w:rsidRDefault="009B5CB2" w:rsidP="009B5CB2">
            <w:pPr>
              <w:spacing w:after="0" w:line="240" w:lineRule="auto"/>
              <w:jc w:val="right"/>
              <w:rPr>
                <w:rFonts w:ascii="Arial" w:eastAsia="Times New Roman" w:hAnsi="Arial" w:cs="Arial"/>
                <w:lang w:eastAsia="en-GB"/>
              </w:rPr>
            </w:pPr>
            <w:r w:rsidRPr="00BA477F">
              <w:rPr>
                <w:rFonts w:ascii="Arial" w:eastAsia="Times New Roman" w:hAnsi="Arial" w:cs="Arial"/>
                <w:lang w:eastAsia="en-GB"/>
              </w:rPr>
              <w:t>16.8%</w:t>
            </w:r>
          </w:p>
        </w:tc>
        <w:tc>
          <w:tcPr>
            <w:tcW w:w="1620" w:type="dxa"/>
            <w:tcBorders>
              <w:top w:val="nil"/>
              <w:left w:val="nil"/>
              <w:bottom w:val="single" w:sz="4" w:space="0" w:color="auto"/>
              <w:right w:val="single" w:sz="4" w:space="0" w:color="auto"/>
            </w:tcBorders>
            <w:shd w:val="clear" w:color="auto" w:fill="auto"/>
            <w:vAlign w:val="center"/>
            <w:hideMark/>
          </w:tcPr>
          <w:p w14:paraId="3FAA4B4C" w14:textId="77777777" w:rsidR="009B5CB2" w:rsidRPr="00BA477F" w:rsidRDefault="009B5CB2" w:rsidP="009B5CB2">
            <w:pPr>
              <w:spacing w:after="0" w:line="240" w:lineRule="auto"/>
              <w:jc w:val="right"/>
              <w:rPr>
                <w:rFonts w:ascii="Arial" w:eastAsia="Times New Roman" w:hAnsi="Arial" w:cs="Arial"/>
                <w:lang w:eastAsia="en-GB"/>
              </w:rPr>
            </w:pPr>
            <w:r w:rsidRPr="00BA477F">
              <w:rPr>
                <w:rFonts w:ascii="Arial" w:eastAsia="Times New Roman" w:hAnsi="Arial" w:cs="Arial"/>
                <w:lang w:eastAsia="en-GB"/>
              </w:rPr>
              <w:t>3.2%</w:t>
            </w:r>
          </w:p>
        </w:tc>
      </w:tr>
      <w:tr w:rsidR="009B5CB2" w:rsidRPr="009B5CB2" w14:paraId="3F50E7D9" w14:textId="77777777" w:rsidTr="009B5CB2">
        <w:trPr>
          <w:trHeight w:val="450"/>
        </w:trPr>
        <w:tc>
          <w:tcPr>
            <w:tcW w:w="4820" w:type="dxa"/>
            <w:tcBorders>
              <w:top w:val="nil"/>
              <w:left w:val="single" w:sz="4" w:space="0" w:color="auto"/>
              <w:bottom w:val="single" w:sz="4" w:space="0" w:color="auto"/>
              <w:right w:val="nil"/>
            </w:tcBorders>
            <w:shd w:val="clear" w:color="auto" w:fill="auto"/>
            <w:vAlign w:val="center"/>
            <w:hideMark/>
          </w:tcPr>
          <w:p w14:paraId="34C693B4" w14:textId="4269BC53" w:rsidR="009B5CB2" w:rsidRPr="009B5CB2" w:rsidRDefault="009B5CB2" w:rsidP="009B5CB2">
            <w:pPr>
              <w:spacing w:after="0" w:line="240" w:lineRule="auto"/>
              <w:rPr>
                <w:rFonts w:ascii="Arial" w:eastAsia="Times New Roman" w:hAnsi="Arial" w:cs="Arial"/>
                <w:lang w:eastAsia="en-GB"/>
              </w:rPr>
            </w:pPr>
            <w:r w:rsidRPr="009B5CB2">
              <w:rPr>
                <w:rFonts w:ascii="Arial" w:eastAsia="Times New Roman" w:hAnsi="Arial" w:cs="Arial"/>
                <w:lang w:eastAsia="en-GB"/>
              </w:rPr>
              <w:t xml:space="preserve">Total as % </w:t>
            </w:r>
            <w:r w:rsidR="00823568">
              <w:rPr>
                <w:rFonts w:ascii="Arial" w:eastAsia="Times New Roman" w:hAnsi="Arial" w:cs="Arial"/>
                <w:lang w:eastAsia="en-GB"/>
              </w:rPr>
              <w:t xml:space="preserve">of </w:t>
            </w:r>
            <w:r w:rsidRPr="009B5CB2">
              <w:rPr>
                <w:rFonts w:ascii="Arial" w:eastAsia="Times New Roman" w:hAnsi="Arial" w:cs="Arial"/>
                <w:lang w:eastAsia="en-GB"/>
              </w:rPr>
              <w:t>income (2017-18)</w:t>
            </w:r>
          </w:p>
        </w:tc>
        <w:tc>
          <w:tcPr>
            <w:tcW w:w="1620" w:type="dxa"/>
            <w:tcBorders>
              <w:top w:val="nil"/>
              <w:left w:val="nil"/>
              <w:bottom w:val="single" w:sz="4" w:space="0" w:color="auto"/>
              <w:right w:val="nil"/>
            </w:tcBorders>
            <w:shd w:val="clear" w:color="auto" w:fill="auto"/>
            <w:vAlign w:val="center"/>
            <w:hideMark/>
          </w:tcPr>
          <w:p w14:paraId="411D325D" w14:textId="77777777" w:rsidR="009B5CB2" w:rsidRPr="009B5CB2" w:rsidRDefault="009B5CB2" w:rsidP="009B5CB2">
            <w:pPr>
              <w:spacing w:after="0" w:line="240" w:lineRule="auto"/>
              <w:jc w:val="right"/>
              <w:rPr>
                <w:rFonts w:ascii="Arial" w:eastAsia="Times New Roman" w:hAnsi="Arial" w:cs="Arial"/>
                <w:lang w:eastAsia="en-GB"/>
              </w:rPr>
            </w:pPr>
            <w:r w:rsidRPr="009B5CB2">
              <w:rPr>
                <w:rFonts w:ascii="Arial" w:eastAsia="Times New Roman" w:hAnsi="Arial" w:cs="Arial"/>
                <w:lang w:eastAsia="en-GB"/>
              </w:rPr>
              <w:t>0.9%</w:t>
            </w:r>
          </w:p>
        </w:tc>
        <w:tc>
          <w:tcPr>
            <w:tcW w:w="1620" w:type="dxa"/>
            <w:tcBorders>
              <w:top w:val="nil"/>
              <w:left w:val="nil"/>
              <w:bottom w:val="single" w:sz="4" w:space="0" w:color="auto"/>
              <w:right w:val="nil"/>
            </w:tcBorders>
            <w:shd w:val="clear" w:color="auto" w:fill="auto"/>
            <w:vAlign w:val="center"/>
            <w:hideMark/>
          </w:tcPr>
          <w:p w14:paraId="1821FFB1" w14:textId="77777777" w:rsidR="009B5CB2" w:rsidRPr="009B5CB2" w:rsidRDefault="009B5CB2" w:rsidP="009B5CB2">
            <w:pPr>
              <w:spacing w:after="0" w:line="240" w:lineRule="auto"/>
              <w:jc w:val="right"/>
              <w:rPr>
                <w:rFonts w:ascii="Arial" w:eastAsia="Times New Roman" w:hAnsi="Arial" w:cs="Arial"/>
                <w:lang w:eastAsia="en-GB"/>
              </w:rPr>
            </w:pPr>
            <w:r w:rsidRPr="009B5CB2">
              <w:rPr>
                <w:rFonts w:ascii="Arial" w:eastAsia="Times New Roman" w:hAnsi="Arial" w:cs="Arial"/>
                <w:lang w:eastAsia="en-GB"/>
              </w:rPr>
              <w:t>2.0%</w:t>
            </w:r>
          </w:p>
        </w:tc>
        <w:tc>
          <w:tcPr>
            <w:tcW w:w="1620" w:type="dxa"/>
            <w:tcBorders>
              <w:top w:val="nil"/>
              <w:left w:val="nil"/>
              <w:bottom w:val="single" w:sz="4" w:space="0" w:color="auto"/>
              <w:right w:val="nil"/>
            </w:tcBorders>
            <w:shd w:val="clear" w:color="auto" w:fill="auto"/>
            <w:vAlign w:val="center"/>
            <w:hideMark/>
          </w:tcPr>
          <w:p w14:paraId="6B5ADDF9" w14:textId="77777777" w:rsidR="009B5CB2" w:rsidRPr="009B5CB2" w:rsidRDefault="009B5CB2" w:rsidP="009B5CB2">
            <w:pPr>
              <w:spacing w:after="0" w:line="240" w:lineRule="auto"/>
              <w:jc w:val="right"/>
              <w:rPr>
                <w:rFonts w:ascii="Arial" w:eastAsia="Times New Roman" w:hAnsi="Arial" w:cs="Arial"/>
                <w:lang w:eastAsia="en-GB"/>
              </w:rPr>
            </w:pPr>
            <w:r w:rsidRPr="009B5CB2">
              <w:rPr>
                <w:rFonts w:ascii="Arial" w:eastAsia="Times New Roman" w:hAnsi="Arial" w:cs="Arial"/>
                <w:lang w:eastAsia="en-GB"/>
              </w:rPr>
              <w:t>5.3%</w:t>
            </w:r>
          </w:p>
        </w:tc>
        <w:tc>
          <w:tcPr>
            <w:tcW w:w="1620" w:type="dxa"/>
            <w:tcBorders>
              <w:top w:val="nil"/>
              <w:left w:val="nil"/>
              <w:bottom w:val="single" w:sz="4" w:space="0" w:color="auto"/>
              <w:right w:val="nil"/>
            </w:tcBorders>
            <w:shd w:val="clear" w:color="auto" w:fill="auto"/>
            <w:vAlign w:val="center"/>
            <w:hideMark/>
          </w:tcPr>
          <w:p w14:paraId="18028DE6" w14:textId="77777777" w:rsidR="009B5CB2" w:rsidRPr="009B5CB2" w:rsidRDefault="009B5CB2" w:rsidP="009B5CB2">
            <w:pPr>
              <w:spacing w:after="0" w:line="240" w:lineRule="auto"/>
              <w:jc w:val="right"/>
              <w:rPr>
                <w:rFonts w:ascii="Arial" w:eastAsia="Times New Roman" w:hAnsi="Arial" w:cs="Arial"/>
                <w:lang w:eastAsia="en-GB"/>
              </w:rPr>
            </w:pPr>
            <w:r w:rsidRPr="009B5CB2">
              <w:rPr>
                <w:rFonts w:ascii="Arial" w:eastAsia="Times New Roman" w:hAnsi="Arial" w:cs="Arial"/>
                <w:lang w:eastAsia="en-GB"/>
              </w:rPr>
              <w:t>1.3%</w:t>
            </w:r>
          </w:p>
        </w:tc>
        <w:tc>
          <w:tcPr>
            <w:tcW w:w="1620" w:type="dxa"/>
            <w:tcBorders>
              <w:top w:val="nil"/>
              <w:left w:val="nil"/>
              <w:bottom w:val="single" w:sz="4" w:space="0" w:color="auto"/>
              <w:right w:val="nil"/>
            </w:tcBorders>
            <w:shd w:val="clear" w:color="auto" w:fill="auto"/>
            <w:vAlign w:val="center"/>
            <w:hideMark/>
          </w:tcPr>
          <w:p w14:paraId="350A6E85" w14:textId="77777777" w:rsidR="009B5CB2" w:rsidRPr="009B5CB2" w:rsidRDefault="009B5CB2" w:rsidP="009B5CB2">
            <w:pPr>
              <w:spacing w:after="0" w:line="240" w:lineRule="auto"/>
              <w:jc w:val="right"/>
              <w:rPr>
                <w:rFonts w:ascii="Arial" w:eastAsia="Times New Roman" w:hAnsi="Arial" w:cs="Arial"/>
                <w:lang w:eastAsia="en-GB"/>
              </w:rPr>
            </w:pPr>
            <w:r w:rsidRPr="009B5CB2">
              <w:rPr>
                <w:rFonts w:ascii="Arial" w:eastAsia="Times New Roman" w:hAnsi="Arial" w:cs="Arial"/>
                <w:lang w:eastAsia="en-GB"/>
              </w:rPr>
              <w:t>13.3%</w:t>
            </w:r>
          </w:p>
        </w:tc>
        <w:tc>
          <w:tcPr>
            <w:tcW w:w="1620" w:type="dxa"/>
            <w:tcBorders>
              <w:top w:val="nil"/>
              <w:left w:val="nil"/>
              <w:bottom w:val="single" w:sz="4" w:space="0" w:color="auto"/>
              <w:right w:val="single" w:sz="4" w:space="0" w:color="auto"/>
            </w:tcBorders>
            <w:shd w:val="clear" w:color="auto" w:fill="auto"/>
            <w:vAlign w:val="center"/>
            <w:hideMark/>
          </w:tcPr>
          <w:p w14:paraId="6C3EC678" w14:textId="77777777" w:rsidR="009B5CB2" w:rsidRPr="009B5CB2" w:rsidRDefault="009B5CB2" w:rsidP="009B5CB2">
            <w:pPr>
              <w:spacing w:after="0" w:line="240" w:lineRule="auto"/>
              <w:jc w:val="right"/>
              <w:rPr>
                <w:rFonts w:ascii="Arial" w:eastAsia="Times New Roman" w:hAnsi="Arial" w:cs="Arial"/>
                <w:lang w:eastAsia="en-GB"/>
              </w:rPr>
            </w:pPr>
            <w:r w:rsidRPr="009B5CB2">
              <w:rPr>
                <w:rFonts w:ascii="Arial" w:eastAsia="Times New Roman" w:hAnsi="Arial" w:cs="Arial"/>
                <w:lang w:eastAsia="en-GB"/>
              </w:rPr>
              <w:t>2.7%</w:t>
            </w:r>
          </w:p>
        </w:tc>
      </w:tr>
    </w:tbl>
    <w:p w14:paraId="2BD41CC7" w14:textId="196CFC50" w:rsidR="00CF7888" w:rsidRPr="00CF7888" w:rsidRDefault="00CF7888" w:rsidP="009B5CB2">
      <w:pPr>
        <w:pStyle w:val="Heading3"/>
        <w:sectPr w:rsidR="00CF7888" w:rsidRPr="00CF7888" w:rsidSect="00141A50">
          <w:pgSz w:w="16838" w:h="11906" w:orient="landscape" w:code="9"/>
          <w:pgMar w:top="1134" w:right="1134" w:bottom="1134" w:left="1134" w:header="340" w:footer="57" w:gutter="0"/>
          <w:cols w:space="708"/>
          <w:titlePg/>
          <w:docGrid w:linePitch="360"/>
        </w:sectPr>
      </w:pPr>
    </w:p>
    <w:p w14:paraId="7AE75192" w14:textId="662C0C74" w:rsidR="003E7D09" w:rsidRDefault="003E7D09" w:rsidP="003A5EE5">
      <w:pPr>
        <w:pStyle w:val="Heading3"/>
      </w:pPr>
      <w:bookmarkStart w:id="11" w:name="_Toc42783356"/>
      <w:r w:rsidRPr="009028F3">
        <w:lastRenderedPageBreak/>
        <w:t>Figure 2: TRAC full economic cost surplus/deficit by activity</w:t>
      </w:r>
      <w:r w:rsidRPr="008717D2">
        <w:t xml:space="preserve">, </w:t>
      </w:r>
      <w:r w:rsidR="00E95D8D" w:rsidRPr="008717D2">
        <w:t>2018-19</w:t>
      </w:r>
      <w:r w:rsidRPr="009028F3">
        <w:t xml:space="preserve"> (UK higher education institutions)</w:t>
      </w:r>
      <w:bookmarkEnd w:id="11"/>
      <w:r w:rsidR="00CF20D1" w:rsidRPr="00CF20D1">
        <w:rPr>
          <w:noProof/>
          <w:lang w:eastAsia="en-GB"/>
        </w:rPr>
        <w:t xml:space="preserve"> </w:t>
      </w:r>
    </w:p>
    <w:p w14:paraId="59FAED9D" w14:textId="0AE1CC7E" w:rsidR="003E7D09" w:rsidRDefault="003236B5" w:rsidP="002953B3">
      <w:pPr>
        <w:rPr>
          <w:color w:val="2B579A"/>
          <w:sz w:val="24"/>
          <w:szCs w:val="24"/>
          <w:shd w:val="clear" w:color="auto" w:fill="E6E6E6"/>
        </w:rPr>
      </w:pPr>
      <w:r>
        <w:rPr>
          <w:noProof/>
          <w:color w:val="2B579A"/>
          <w:sz w:val="24"/>
          <w:szCs w:val="24"/>
          <w:shd w:val="clear" w:color="auto" w:fill="E6E6E6"/>
        </w:rPr>
        <w:drawing>
          <wp:inline distT="0" distB="0" distL="0" distR="0" wp14:anchorId="101C2A21" wp14:editId="051382F2">
            <wp:extent cx="5742940" cy="7358380"/>
            <wp:effectExtent l="0" t="0" r="0" b="0"/>
            <wp:docPr id="5" name="Picture 5" descr="Bar chart showing TRAC full economic cost surplus or deficit for UK higher education institutions by activity - Publicly funded teaching; non publicly funded teaching; research; other income-generating activity; other non-commercial activity; to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ar chart showing TRAC full economic cost surplus or deficit for UK higher education institutions by activity - Publicly funded teaching; non publicly funded teaching; research; other income-generating activity; other non-commercial activity; total."/>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42940" cy="7358380"/>
                    </a:xfrm>
                    <a:prstGeom prst="rect">
                      <a:avLst/>
                    </a:prstGeom>
                    <a:noFill/>
                  </pic:spPr>
                </pic:pic>
              </a:graphicData>
            </a:graphic>
          </wp:inline>
        </w:drawing>
      </w:r>
    </w:p>
    <w:p w14:paraId="09C53269" w14:textId="6860893E" w:rsidR="00565C26" w:rsidRDefault="00565C26" w:rsidP="002953B3">
      <w:pPr>
        <w:rPr>
          <w:noProof/>
          <w:color w:val="2B579A"/>
          <w:sz w:val="24"/>
          <w:szCs w:val="24"/>
          <w:shd w:val="clear" w:color="auto" w:fill="E6E6E6"/>
        </w:rPr>
      </w:pPr>
    </w:p>
    <w:p w14:paraId="5A7E00E3" w14:textId="3834D216" w:rsidR="00565C26" w:rsidRDefault="00565C26" w:rsidP="002953B3">
      <w:pPr>
        <w:rPr>
          <w:noProof/>
          <w:color w:val="2B579A"/>
          <w:sz w:val="24"/>
          <w:szCs w:val="24"/>
          <w:shd w:val="clear" w:color="auto" w:fill="E6E6E6"/>
        </w:rPr>
      </w:pPr>
    </w:p>
    <w:p w14:paraId="5D6C687D" w14:textId="46021EE4" w:rsidR="00565C26" w:rsidRDefault="00565C26" w:rsidP="002953B3">
      <w:pPr>
        <w:rPr>
          <w:noProof/>
          <w:color w:val="2B579A"/>
          <w:sz w:val="24"/>
          <w:szCs w:val="24"/>
          <w:shd w:val="clear" w:color="auto" w:fill="E6E6E6"/>
        </w:rPr>
      </w:pPr>
    </w:p>
    <w:p w14:paraId="5A67DC6E" w14:textId="45D7E26A" w:rsidR="00565C26" w:rsidRDefault="00565C26" w:rsidP="002953B3">
      <w:pPr>
        <w:rPr>
          <w:noProof/>
          <w:color w:val="2B579A"/>
          <w:sz w:val="24"/>
          <w:szCs w:val="24"/>
          <w:shd w:val="clear" w:color="auto" w:fill="E6E6E6"/>
        </w:rPr>
      </w:pPr>
    </w:p>
    <w:p w14:paraId="0360D8E3" w14:textId="2913C3CB" w:rsidR="003A5EE5" w:rsidRDefault="003A5EE5" w:rsidP="00270B89">
      <w:pPr>
        <w:pStyle w:val="Heading3"/>
        <w:keepLines/>
      </w:pPr>
      <w:bookmarkStart w:id="12" w:name="_Toc42783357"/>
      <w:r>
        <w:lastRenderedPageBreak/>
        <w:t xml:space="preserve">Definitions for Table 4 and </w:t>
      </w:r>
      <w:r w:rsidR="000624A5">
        <w:t>F</w:t>
      </w:r>
      <w:r>
        <w:t>igure 2</w:t>
      </w:r>
      <w:bookmarkEnd w:id="12"/>
    </w:p>
    <w:p w14:paraId="356D20BB" w14:textId="275DA9AF" w:rsidR="003A5EE5" w:rsidRDefault="003A5EE5" w:rsidP="000624A5">
      <w:pPr>
        <w:keepNext/>
        <w:keepLines/>
        <w:spacing w:after="240" w:line="300" w:lineRule="atLeast"/>
      </w:pPr>
      <w:r w:rsidRPr="006B41A5">
        <w:rPr>
          <w:b/>
        </w:rPr>
        <w:t>Publicly funded teaching:</w:t>
      </w:r>
      <w:r>
        <w:t xml:space="preserve"> Teaching of higher and further education courses to home and EU students who were fundable by </w:t>
      </w:r>
      <w:r w:rsidR="00716350">
        <w:t>the OfS</w:t>
      </w:r>
      <w:r w:rsidR="007631A8">
        <w:t xml:space="preserve">, </w:t>
      </w:r>
      <w:r w:rsidR="00A24FC8">
        <w:t>Scottish Funding Council, Higher Education Funding Council for Wales</w:t>
      </w:r>
      <w:r>
        <w:t xml:space="preserve"> or the Department for the Economy (Northern Ireland) or by the NHS, National College of Teaching and Leadership, or Education and Skills Funding Agency. Income includes student fees paid via the Student Loans Company.</w:t>
      </w:r>
    </w:p>
    <w:p w14:paraId="368D7C7A" w14:textId="77777777" w:rsidR="003A5EE5" w:rsidRDefault="003A5EE5" w:rsidP="000624A5">
      <w:pPr>
        <w:keepNext/>
        <w:keepLines/>
        <w:spacing w:after="240" w:line="300" w:lineRule="atLeast"/>
      </w:pPr>
      <w:r w:rsidRPr="006B41A5">
        <w:rPr>
          <w:b/>
        </w:rPr>
        <w:t>Non-publicly funded teaching:</w:t>
      </w:r>
      <w:r>
        <w:t xml:space="preserve"> Teaching of students from outside the UK and EU; self-funded home and EU students and other commissioned courses (such as employer-specific ‘closed’ courses).</w:t>
      </w:r>
    </w:p>
    <w:p w14:paraId="6CED264A" w14:textId="1E60722F" w:rsidR="003A5EE5" w:rsidRDefault="003A5EE5" w:rsidP="000624A5">
      <w:pPr>
        <w:keepNext/>
        <w:keepLines/>
        <w:spacing w:after="240" w:line="300" w:lineRule="atLeast"/>
      </w:pPr>
      <w:r w:rsidRPr="006B41A5">
        <w:rPr>
          <w:b/>
        </w:rPr>
        <w:t>Research:</w:t>
      </w:r>
      <w:r>
        <w:t xml:space="preserve"> All research activity (but not scholarship or staff development) commissioned and funded by external sponsors, or the institution’s own-funded research activity. Public sponsors of research include UK </w:t>
      </w:r>
      <w:r w:rsidR="006233CA">
        <w:t>r</w:t>
      </w:r>
      <w:r>
        <w:t xml:space="preserve">esearch </w:t>
      </w:r>
      <w:r w:rsidR="006233CA">
        <w:t>c</w:t>
      </w:r>
      <w:r>
        <w:t xml:space="preserve">ouncils and other government departments. Other sponsors include UK charities, the EU, overseas governments, overseas </w:t>
      </w:r>
      <w:proofErr w:type="gramStart"/>
      <w:r>
        <w:t>charities</w:t>
      </w:r>
      <w:proofErr w:type="gramEnd"/>
      <w:r>
        <w:t xml:space="preserve"> and research carried out for commercial or industrial sponsors.</w:t>
      </w:r>
    </w:p>
    <w:p w14:paraId="60E2DA25" w14:textId="77777777" w:rsidR="003A5EE5" w:rsidRDefault="003A5EE5" w:rsidP="000624A5">
      <w:pPr>
        <w:keepNext/>
        <w:keepLines/>
        <w:spacing w:after="240" w:line="300" w:lineRule="atLeast"/>
      </w:pPr>
      <w:r w:rsidRPr="006B41A5">
        <w:rPr>
          <w:b/>
        </w:rPr>
        <w:t>Other (income</w:t>
      </w:r>
      <w:r>
        <w:rPr>
          <w:b/>
        </w:rPr>
        <w:t>-</w:t>
      </w:r>
      <w:r w:rsidRPr="006B41A5">
        <w:rPr>
          <w:b/>
        </w:rPr>
        <w:t>generating)</w:t>
      </w:r>
      <w:r>
        <w:rPr>
          <w:b/>
        </w:rPr>
        <w:t>:</w:t>
      </w:r>
      <w:r>
        <w:t xml:space="preserve"> Includes commercial activities such as catering and conferences, commercially let facilities and residences; activities carried out through subsidiary companies such as publishing or commercial consultancy; knowledge transfer activity; and, for institutions with medical and dental schools, services provided to the NHS. </w:t>
      </w:r>
    </w:p>
    <w:p w14:paraId="79D7A19E" w14:textId="77777777" w:rsidR="003A5EE5" w:rsidRDefault="003A5EE5" w:rsidP="000624A5">
      <w:pPr>
        <w:keepNext/>
        <w:keepLines/>
        <w:spacing w:after="240" w:line="300" w:lineRule="atLeast"/>
      </w:pPr>
      <w:r w:rsidRPr="006B41A5">
        <w:rPr>
          <w:b/>
        </w:rPr>
        <w:t>Other (non-commer</w:t>
      </w:r>
      <w:r>
        <w:rPr>
          <w:b/>
        </w:rPr>
        <w:t>c</w:t>
      </w:r>
      <w:r w:rsidRPr="006B41A5">
        <w:rPr>
          <w:b/>
        </w:rPr>
        <w:t>ial)</w:t>
      </w:r>
      <w:r>
        <w:rPr>
          <w:b/>
        </w:rPr>
        <w:t>:</w:t>
      </w:r>
      <w:r>
        <w:t xml:space="preserve"> Non-commercial activity such as investment and donations or endowments.</w:t>
      </w:r>
    </w:p>
    <w:p w14:paraId="0E65C377" w14:textId="77777777" w:rsidR="00141A50" w:rsidRDefault="00141A50" w:rsidP="003A5EE5">
      <w:pPr>
        <w:rPr>
          <w:highlight w:val="yellow"/>
        </w:rPr>
      </w:pPr>
    </w:p>
    <w:p w14:paraId="71086F97" w14:textId="77777777" w:rsidR="003A5EE5" w:rsidRPr="003A5EE5" w:rsidRDefault="003A5EE5" w:rsidP="003A5EE5">
      <w:pPr>
        <w:sectPr w:rsidR="003A5EE5" w:rsidRPr="003A5EE5" w:rsidSect="003A5EE5">
          <w:pgSz w:w="11906" w:h="16838" w:code="9"/>
          <w:pgMar w:top="1134" w:right="1134" w:bottom="1134" w:left="1134" w:header="454" w:footer="454" w:gutter="0"/>
          <w:cols w:space="708"/>
          <w:titlePg/>
          <w:docGrid w:linePitch="360"/>
        </w:sectPr>
      </w:pPr>
      <w:r w:rsidRPr="003A5EE5">
        <w:t xml:space="preserve"> </w:t>
      </w:r>
    </w:p>
    <w:p w14:paraId="6BADD902" w14:textId="3BCB16D9" w:rsidR="003A5EE5" w:rsidRDefault="003A5EE5" w:rsidP="003A5EE5">
      <w:pPr>
        <w:pStyle w:val="Heading3"/>
      </w:pPr>
      <w:bookmarkStart w:id="13" w:name="_Toc42783358"/>
      <w:r w:rsidRPr="009028F3">
        <w:lastRenderedPageBreak/>
        <w:t xml:space="preserve">Table 5: Research income and costs by sponsor type, </w:t>
      </w:r>
      <w:r w:rsidR="00E95D8D">
        <w:t>2018-19</w:t>
      </w:r>
      <w:r w:rsidRPr="009028F3">
        <w:t xml:space="preserve"> (UK higher educati</w:t>
      </w:r>
      <w:r w:rsidRPr="004D1FDE">
        <w:t>on institutions) (figures in £M)</w:t>
      </w:r>
      <w:bookmarkEnd w:id="13"/>
    </w:p>
    <w:tbl>
      <w:tblPr>
        <w:tblW w:w="14960" w:type="dxa"/>
        <w:tblLook w:val="04A0" w:firstRow="1" w:lastRow="0" w:firstColumn="1" w:lastColumn="0" w:noHBand="0" w:noVBand="1"/>
      </w:tblPr>
      <w:tblGrid>
        <w:gridCol w:w="3561"/>
        <w:gridCol w:w="1292"/>
        <w:gridCol w:w="1280"/>
        <w:gridCol w:w="1610"/>
        <w:gridCol w:w="1317"/>
        <w:gridCol w:w="1537"/>
        <w:gridCol w:w="987"/>
        <w:gridCol w:w="1153"/>
        <w:gridCol w:w="1084"/>
        <w:gridCol w:w="1139"/>
      </w:tblGrid>
      <w:tr w:rsidR="003F7DF6" w:rsidRPr="00565C26" w14:paraId="26F35556" w14:textId="77777777" w:rsidTr="00695D3F">
        <w:trPr>
          <w:trHeight w:val="1923"/>
        </w:trPr>
        <w:tc>
          <w:tcPr>
            <w:tcW w:w="3940" w:type="dxa"/>
            <w:tcBorders>
              <w:top w:val="single" w:sz="4" w:space="0" w:color="auto"/>
              <w:left w:val="single" w:sz="4" w:space="0" w:color="auto"/>
              <w:bottom w:val="single" w:sz="4" w:space="0" w:color="auto"/>
              <w:right w:val="nil"/>
            </w:tcBorders>
            <w:shd w:val="clear" w:color="000000" w:fill="002554"/>
            <w:vAlign w:val="center"/>
            <w:hideMark/>
          </w:tcPr>
          <w:p w14:paraId="757F2721" w14:textId="77777777" w:rsidR="00565C26" w:rsidRPr="00565C26" w:rsidRDefault="00565C26" w:rsidP="00565C26">
            <w:pPr>
              <w:spacing w:after="0" w:line="240" w:lineRule="auto"/>
              <w:jc w:val="center"/>
              <w:rPr>
                <w:rFonts w:ascii="Arial" w:eastAsia="Times New Roman" w:hAnsi="Arial" w:cs="Arial"/>
                <w:b/>
                <w:bCs/>
                <w:lang w:eastAsia="en-GB"/>
              </w:rPr>
            </w:pPr>
            <w:r w:rsidRPr="00565C26">
              <w:rPr>
                <w:rFonts w:ascii="Arial" w:eastAsia="Times New Roman" w:hAnsi="Arial" w:cs="Arial"/>
                <w:b/>
                <w:bCs/>
                <w:lang w:eastAsia="en-GB"/>
              </w:rPr>
              <w:t> </w:t>
            </w:r>
          </w:p>
        </w:tc>
        <w:tc>
          <w:tcPr>
            <w:tcW w:w="1220" w:type="dxa"/>
            <w:tcBorders>
              <w:top w:val="single" w:sz="4" w:space="0" w:color="auto"/>
              <w:left w:val="nil"/>
              <w:bottom w:val="nil"/>
              <w:right w:val="nil"/>
            </w:tcBorders>
            <w:shd w:val="clear" w:color="000000" w:fill="002554"/>
            <w:vAlign w:val="center"/>
            <w:hideMark/>
          </w:tcPr>
          <w:p w14:paraId="2A0D0810" w14:textId="5899F29E" w:rsidR="00565C26" w:rsidRPr="00565C26" w:rsidRDefault="00565C26" w:rsidP="00565C26">
            <w:pPr>
              <w:spacing w:after="0" w:line="240" w:lineRule="auto"/>
              <w:jc w:val="right"/>
              <w:rPr>
                <w:rFonts w:ascii="Arial" w:eastAsia="Times New Roman" w:hAnsi="Arial" w:cs="Arial"/>
                <w:b/>
                <w:bCs/>
                <w:color w:val="FFFFFF"/>
                <w:sz w:val="20"/>
                <w:szCs w:val="20"/>
                <w:lang w:eastAsia="en-GB"/>
              </w:rPr>
            </w:pPr>
            <w:r w:rsidRPr="007C65BC">
              <w:rPr>
                <w:rFonts w:ascii="Arial" w:eastAsia="Times New Roman" w:hAnsi="Arial" w:cs="Arial"/>
                <w:b/>
                <w:bCs/>
                <w:color w:val="FFFFFF"/>
                <w:lang w:eastAsia="en-GB"/>
              </w:rPr>
              <w:t xml:space="preserve">Recurrent research funding from </w:t>
            </w:r>
            <w:r w:rsidR="00F63161">
              <w:rPr>
                <w:rFonts w:ascii="Arial" w:eastAsia="Times New Roman" w:hAnsi="Arial" w:cs="Arial"/>
                <w:b/>
                <w:bCs/>
                <w:color w:val="FFFFFF"/>
                <w:lang w:eastAsia="en-GB"/>
              </w:rPr>
              <w:t>U</w:t>
            </w:r>
            <w:r w:rsidR="003F7DF6">
              <w:rPr>
                <w:rFonts w:ascii="Arial" w:eastAsia="Times New Roman" w:hAnsi="Arial" w:cs="Arial"/>
                <w:b/>
                <w:bCs/>
                <w:color w:val="FFFFFF"/>
                <w:lang w:eastAsia="en-GB"/>
              </w:rPr>
              <w:t xml:space="preserve">K </w:t>
            </w:r>
            <w:r w:rsidR="008902A5">
              <w:rPr>
                <w:rFonts w:ascii="Arial" w:eastAsia="Times New Roman" w:hAnsi="Arial" w:cs="Arial"/>
                <w:b/>
                <w:bCs/>
                <w:color w:val="FFFFFF"/>
                <w:lang w:eastAsia="en-GB"/>
              </w:rPr>
              <w:t>higher education</w:t>
            </w:r>
            <w:r w:rsidR="003F7DF6">
              <w:rPr>
                <w:rFonts w:ascii="Arial" w:eastAsia="Times New Roman" w:hAnsi="Arial" w:cs="Arial"/>
                <w:b/>
                <w:bCs/>
                <w:color w:val="FFFFFF"/>
                <w:lang w:eastAsia="en-GB"/>
              </w:rPr>
              <w:t xml:space="preserve"> funding bodies</w:t>
            </w:r>
            <w:r w:rsidR="00FA2679">
              <w:rPr>
                <w:rFonts w:ascii="Arial" w:eastAsia="Times New Roman" w:hAnsi="Arial" w:cs="Arial"/>
                <w:b/>
                <w:bCs/>
                <w:color w:val="FFFFFF"/>
                <w:lang w:eastAsia="en-GB"/>
              </w:rPr>
              <w:t>/</w:t>
            </w:r>
            <w:r w:rsidRPr="007C65BC">
              <w:rPr>
                <w:rFonts w:ascii="Arial" w:eastAsia="Times New Roman" w:hAnsi="Arial" w:cs="Arial"/>
                <w:b/>
                <w:bCs/>
                <w:color w:val="FFFFFF"/>
                <w:lang w:eastAsia="en-GB"/>
              </w:rPr>
              <w:t>RE</w:t>
            </w:r>
          </w:p>
        </w:tc>
        <w:tc>
          <w:tcPr>
            <w:tcW w:w="1240" w:type="dxa"/>
            <w:tcBorders>
              <w:top w:val="single" w:sz="4" w:space="0" w:color="auto"/>
              <w:left w:val="nil"/>
              <w:bottom w:val="nil"/>
              <w:right w:val="nil"/>
            </w:tcBorders>
            <w:shd w:val="clear" w:color="000000" w:fill="002554"/>
            <w:vAlign w:val="center"/>
            <w:hideMark/>
          </w:tcPr>
          <w:p w14:paraId="50FB1704" w14:textId="77777777" w:rsidR="00565C26" w:rsidRPr="00565C26" w:rsidRDefault="00565C26" w:rsidP="00565C26">
            <w:pPr>
              <w:spacing w:after="0" w:line="240" w:lineRule="auto"/>
              <w:jc w:val="right"/>
              <w:rPr>
                <w:rFonts w:ascii="Arial" w:eastAsia="Times New Roman" w:hAnsi="Arial" w:cs="Arial"/>
                <w:b/>
                <w:bCs/>
                <w:color w:val="FFFFFF"/>
                <w:lang w:eastAsia="en-GB"/>
              </w:rPr>
            </w:pPr>
            <w:r w:rsidRPr="00565C26">
              <w:rPr>
                <w:rFonts w:ascii="Arial" w:eastAsia="Times New Roman" w:hAnsi="Arial" w:cs="Arial"/>
                <w:b/>
                <w:bCs/>
                <w:color w:val="FFFFFF"/>
                <w:lang w:eastAsia="en-GB"/>
              </w:rPr>
              <w:t>Institution own-funded</w:t>
            </w:r>
          </w:p>
        </w:tc>
        <w:tc>
          <w:tcPr>
            <w:tcW w:w="1520" w:type="dxa"/>
            <w:tcBorders>
              <w:top w:val="single" w:sz="4" w:space="0" w:color="auto"/>
              <w:left w:val="nil"/>
              <w:bottom w:val="nil"/>
              <w:right w:val="nil"/>
            </w:tcBorders>
            <w:shd w:val="clear" w:color="000000" w:fill="002554"/>
            <w:vAlign w:val="center"/>
            <w:hideMark/>
          </w:tcPr>
          <w:p w14:paraId="4BAEE00D" w14:textId="77777777" w:rsidR="00565C26" w:rsidRPr="00565C26" w:rsidRDefault="00565C26" w:rsidP="00565C26">
            <w:pPr>
              <w:spacing w:after="0" w:line="240" w:lineRule="auto"/>
              <w:jc w:val="right"/>
              <w:rPr>
                <w:rFonts w:ascii="Arial" w:eastAsia="Times New Roman" w:hAnsi="Arial" w:cs="Arial"/>
                <w:b/>
                <w:bCs/>
                <w:color w:val="FFFFFF"/>
                <w:lang w:eastAsia="en-GB"/>
              </w:rPr>
            </w:pPr>
            <w:r w:rsidRPr="00565C26">
              <w:rPr>
                <w:rFonts w:ascii="Arial" w:eastAsia="Times New Roman" w:hAnsi="Arial" w:cs="Arial"/>
                <w:b/>
                <w:bCs/>
                <w:color w:val="FFFFFF"/>
                <w:lang w:eastAsia="en-GB"/>
              </w:rPr>
              <w:t xml:space="preserve">Training and supervision of postgraduate research students </w:t>
            </w:r>
          </w:p>
        </w:tc>
        <w:tc>
          <w:tcPr>
            <w:tcW w:w="1340" w:type="dxa"/>
            <w:tcBorders>
              <w:top w:val="single" w:sz="4" w:space="0" w:color="auto"/>
              <w:left w:val="nil"/>
              <w:bottom w:val="nil"/>
              <w:right w:val="nil"/>
            </w:tcBorders>
            <w:shd w:val="clear" w:color="000000" w:fill="002554"/>
            <w:vAlign w:val="center"/>
            <w:hideMark/>
          </w:tcPr>
          <w:p w14:paraId="0ED62645" w14:textId="77777777" w:rsidR="00565C26" w:rsidRPr="00565C26" w:rsidRDefault="00565C26" w:rsidP="00565C26">
            <w:pPr>
              <w:spacing w:after="0" w:line="240" w:lineRule="auto"/>
              <w:jc w:val="right"/>
              <w:rPr>
                <w:rFonts w:ascii="Arial" w:eastAsia="Times New Roman" w:hAnsi="Arial" w:cs="Arial"/>
                <w:b/>
                <w:bCs/>
                <w:color w:val="FFFFFF"/>
                <w:lang w:eastAsia="en-GB"/>
              </w:rPr>
            </w:pPr>
            <w:r w:rsidRPr="00565C26">
              <w:rPr>
                <w:rFonts w:ascii="Arial" w:eastAsia="Times New Roman" w:hAnsi="Arial" w:cs="Arial"/>
                <w:b/>
                <w:bCs/>
                <w:color w:val="FFFFFF"/>
                <w:lang w:eastAsia="en-GB"/>
              </w:rPr>
              <w:t>Research Councils</w:t>
            </w:r>
          </w:p>
        </w:tc>
        <w:tc>
          <w:tcPr>
            <w:tcW w:w="1480" w:type="dxa"/>
            <w:tcBorders>
              <w:top w:val="single" w:sz="4" w:space="0" w:color="auto"/>
              <w:left w:val="nil"/>
              <w:bottom w:val="nil"/>
              <w:right w:val="nil"/>
            </w:tcBorders>
            <w:shd w:val="clear" w:color="000000" w:fill="002554"/>
            <w:vAlign w:val="center"/>
            <w:hideMark/>
          </w:tcPr>
          <w:p w14:paraId="4886ECD9" w14:textId="77777777" w:rsidR="00565C26" w:rsidRPr="00565C26" w:rsidRDefault="00565C26" w:rsidP="00565C26">
            <w:pPr>
              <w:spacing w:after="0" w:line="240" w:lineRule="auto"/>
              <w:jc w:val="right"/>
              <w:rPr>
                <w:rFonts w:ascii="Arial" w:eastAsia="Times New Roman" w:hAnsi="Arial" w:cs="Arial"/>
                <w:b/>
                <w:bCs/>
                <w:color w:val="FFFFFF"/>
                <w:lang w:eastAsia="en-GB"/>
              </w:rPr>
            </w:pPr>
            <w:r w:rsidRPr="00565C26">
              <w:rPr>
                <w:rFonts w:ascii="Arial" w:eastAsia="Times New Roman" w:hAnsi="Arial" w:cs="Arial"/>
                <w:b/>
                <w:bCs/>
                <w:color w:val="FFFFFF"/>
                <w:lang w:eastAsia="en-GB"/>
              </w:rPr>
              <w:t>Other government departments</w:t>
            </w:r>
          </w:p>
        </w:tc>
        <w:tc>
          <w:tcPr>
            <w:tcW w:w="960" w:type="dxa"/>
            <w:tcBorders>
              <w:top w:val="single" w:sz="4" w:space="0" w:color="auto"/>
              <w:left w:val="nil"/>
              <w:bottom w:val="nil"/>
              <w:right w:val="nil"/>
            </w:tcBorders>
            <w:shd w:val="clear" w:color="000000" w:fill="002554"/>
            <w:vAlign w:val="center"/>
            <w:hideMark/>
          </w:tcPr>
          <w:p w14:paraId="7B391B1E" w14:textId="77777777" w:rsidR="00565C26" w:rsidRPr="00565C26" w:rsidRDefault="00565C26" w:rsidP="00565C26">
            <w:pPr>
              <w:spacing w:after="0" w:line="240" w:lineRule="auto"/>
              <w:jc w:val="right"/>
              <w:rPr>
                <w:rFonts w:ascii="Arial" w:eastAsia="Times New Roman" w:hAnsi="Arial" w:cs="Arial"/>
                <w:b/>
                <w:bCs/>
                <w:color w:val="FFFFFF"/>
                <w:lang w:eastAsia="en-GB"/>
              </w:rPr>
            </w:pPr>
            <w:r w:rsidRPr="00565C26">
              <w:rPr>
                <w:rFonts w:ascii="Arial" w:eastAsia="Times New Roman" w:hAnsi="Arial" w:cs="Arial"/>
                <w:b/>
                <w:bCs/>
                <w:color w:val="FFFFFF"/>
                <w:lang w:eastAsia="en-GB"/>
              </w:rPr>
              <w:t xml:space="preserve">EU </w:t>
            </w:r>
          </w:p>
        </w:tc>
        <w:tc>
          <w:tcPr>
            <w:tcW w:w="1160" w:type="dxa"/>
            <w:tcBorders>
              <w:top w:val="single" w:sz="4" w:space="0" w:color="auto"/>
              <w:left w:val="nil"/>
              <w:bottom w:val="nil"/>
              <w:right w:val="nil"/>
            </w:tcBorders>
            <w:shd w:val="clear" w:color="000000" w:fill="002554"/>
            <w:vAlign w:val="center"/>
            <w:hideMark/>
          </w:tcPr>
          <w:p w14:paraId="58D24961" w14:textId="77777777" w:rsidR="00565C26" w:rsidRPr="00565C26" w:rsidRDefault="00565C26" w:rsidP="00565C26">
            <w:pPr>
              <w:spacing w:after="0" w:line="240" w:lineRule="auto"/>
              <w:jc w:val="right"/>
              <w:rPr>
                <w:rFonts w:ascii="Arial" w:eastAsia="Times New Roman" w:hAnsi="Arial" w:cs="Arial"/>
                <w:b/>
                <w:bCs/>
                <w:color w:val="FFFFFF"/>
                <w:lang w:eastAsia="en-GB"/>
              </w:rPr>
            </w:pPr>
            <w:r w:rsidRPr="00565C26">
              <w:rPr>
                <w:rFonts w:ascii="Arial" w:eastAsia="Times New Roman" w:hAnsi="Arial" w:cs="Arial"/>
                <w:b/>
                <w:bCs/>
                <w:color w:val="FFFFFF"/>
                <w:lang w:eastAsia="en-GB"/>
              </w:rPr>
              <w:t>UK charities</w:t>
            </w:r>
          </w:p>
        </w:tc>
        <w:tc>
          <w:tcPr>
            <w:tcW w:w="960" w:type="dxa"/>
            <w:tcBorders>
              <w:top w:val="single" w:sz="4" w:space="0" w:color="auto"/>
              <w:left w:val="nil"/>
              <w:bottom w:val="nil"/>
              <w:right w:val="nil"/>
            </w:tcBorders>
            <w:shd w:val="clear" w:color="000000" w:fill="002554"/>
            <w:vAlign w:val="center"/>
            <w:hideMark/>
          </w:tcPr>
          <w:p w14:paraId="1655F544" w14:textId="77777777" w:rsidR="00565C26" w:rsidRPr="00565C26" w:rsidRDefault="00565C26" w:rsidP="00565C26">
            <w:pPr>
              <w:spacing w:after="0" w:line="240" w:lineRule="auto"/>
              <w:jc w:val="right"/>
              <w:rPr>
                <w:rFonts w:ascii="Arial" w:eastAsia="Times New Roman" w:hAnsi="Arial" w:cs="Arial"/>
                <w:b/>
                <w:bCs/>
                <w:color w:val="FFFFFF"/>
                <w:lang w:eastAsia="en-GB"/>
              </w:rPr>
            </w:pPr>
            <w:r w:rsidRPr="00565C26">
              <w:rPr>
                <w:rFonts w:ascii="Arial" w:eastAsia="Times New Roman" w:hAnsi="Arial" w:cs="Arial"/>
                <w:b/>
                <w:bCs/>
                <w:color w:val="FFFFFF"/>
                <w:lang w:eastAsia="en-GB"/>
              </w:rPr>
              <w:t xml:space="preserve">Industry </w:t>
            </w:r>
          </w:p>
        </w:tc>
        <w:tc>
          <w:tcPr>
            <w:tcW w:w="1140" w:type="dxa"/>
            <w:tcBorders>
              <w:top w:val="single" w:sz="4" w:space="0" w:color="auto"/>
              <w:left w:val="nil"/>
              <w:bottom w:val="nil"/>
              <w:right w:val="single" w:sz="4" w:space="0" w:color="auto"/>
            </w:tcBorders>
            <w:shd w:val="clear" w:color="000000" w:fill="002554"/>
            <w:vAlign w:val="center"/>
            <w:hideMark/>
          </w:tcPr>
          <w:p w14:paraId="7AAF022C" w14:textId="77777777" w:rsidR="00565C26" w:rsidRPr="00565C26" w:rsidRDefault="00565C26" w:rsidP="00565C26">
            <w:pPr>
              <w:spacing w:after="0" w:line="240" w:lineRule="auto"/>
              <w:jc w:val="right"/>
              <w:rPr>
                <w:rFonts w:ascii="Arial" w:eastAsia="Times New Roman" w:hAnsi="Arial" w:cs="Arial"/>
                <w:b/>
                <w:bCs/>
                <w:color w:val="FFFFFF"/>
                <w:lang w:eastAsia="en-GB"/>
              </w:rPr>
            </w:pPr>
            <w:r w:rsidRPr="00565C26">
              <w:rPr>
                <w:rFonts w:ascii="Arial" w:eastAsia="Times New Roman" w:hAnsi="Arial" w:cs="Arial"/>
                <w:b/>
                <w:bCs/>
                <w:color w:val="FFFFFF"/>
                <w:lang w:eastAsia="en-GB"/>
              </w:rPr>
              <w:t xml:space="preserve">Total research </w:t>
            </w:r>
          </w:p>
        </w:tc>
      </w:tr>
      <w:tr w:rsidR="00565C26" w:rsidRPr="00565C26" w14:paraId="238974A0" w14:textId="77777777" w:rsidTr="00565C26">
        <w:trPr>
          <w:trHeight w:val="405"/>
        </w:trPr>
        <w:tc>
          <w:tcPr>
            <w:tcW w:w="3940" w:type="dxa"/>
            <w:tcBorders>
              <w:top w:val="nil"/>
              <w:left w:val="single" w:sz="4" w:space="0" w:color="auto"/>
              <w:bottom w:val="nil"/>
              <w:right w:val="nil"/>
            </w:tcBorders>
            <w:shd w:val="clear" w:color="auto" w:fill="auto"/>
            <w:vAlign w:val="center"/>
            <w:hideMark/>
          </w:tcPr>
          <w:p w14:paraId="601D87C0" w14:textId="77777777" w:rsidR="00565C26" w:rsidRPr="00565C26" w:rsidRDefault="00565C26" w:rsidP="00565C26">
            <w:pPr>
              <w:spacing w:after="0" w:line="240" w:lineRule="auto"/>
              <w:rPr>
                <w:rFonts w:ascii="Arial" w:eastAsia="Times New Roman" w:hAnsi="Arial" w:cs="Arial"/>
                <w:lang w:eastAsia="en-GB"/>
              </w:rPr>
            </w:pPr>
            <w:r w:rsidRPr="00565C26">
              <w:rPr>
                <w:rFonts w:ascii="Arial" w:eastAsia="Times New Roman" w:hAnsi="Arial" w:cs="Arial"/>
                <w:lang w:eastAsia="en-GB"/>
              </w:rPr>
              <w:t>Income</w:t>
            </w:r>
          </w:p>
        </w:tc>
        <w:tc>
          <w:tcPr>
            <w:tcW w:w="1220" w:type="dxa"/>
            <w:tcBorders>
              <w:top w:val="single" w:sz="4" w:space="0" w:color="auto"/>
              <w:left w:val="nil"/>
              <w:bottom w:val="nil"/>
              <w:right w:val="nil"/>
            </w:tcBorders>
            <w:shd w:val="clear" w:color="auto" w:fill="auto"/>
            <w:vAlign w:val="center"/>
            <w:hideMark/>
          </w:tcPr>
          <w:p w14:paraId="67EDC3D6"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lang w:eastAsia="en-GB"/>
              </w:rPr>
              <w:t>2,021</w:t>
            </w:r>
          </w:p>
        </w:tc>
        <w:tc>
          <w:tcPr>
            <w:tcW w:w="1240" w:type="dxa"/>
            <w:tcBorders>
              <w:top w:val="single" w:sz="4" w:space="0" w:color="auto"/>
              <w:left w:val="nil"/>
              <w:bottom w:val="nil"/>
              <w:right w:val="nil"/>
            </w:tcBorders>
            <w:shd w:val="clear" w:color="auto" w:fill="auto"/>
            <w:vAlign w:val="center"/>
            <w:hideMark/>
          </w:tcPr>
          <w:p w14:paraId="277EE8F2"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lang w:eastAsia="en-GB"/>
              </w:rPr>
              <w:t>561</w:t>
            </w:r>
          </w:p>
        </w:tc>
        <w:tc>
          <w:tcPr>
            <w:tcW w:w="1520" w:type="dxa"/>
            <w:tcBorders>
              <w:top w:val="single" w:sz="4" w:space="0" w:color="auto"/>
              <w:left w:val="nil"/>
              <w:bottom w:val="nil"/>
              <w:right w:val="nil"/>
            </w:tcBorders>
            <w:shd w:val="clear" w:color="auto" w:fill="auto"/>
            <w:vAlign w:val="center"/>
            <w:hideMark/>
          </w:tcPr>
          <w:p w14:paraId="4ABB5D96"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lang w:eastAsia="en-GB"/>
              </w:rPr>
              <w:t>1,249</w:t>
            </w:r>
          </w:p>
        </w:tc>
        <w:tc>
          <w:tcPr>
            <w:tcW w:w="1340" w:type="dxa"/>
            <w:tcBorders>
              <w:top w:val="single" w:sz="4" w:space="0" w:color="auto"/>
              <w:left w:val="nil"/>
              <w:bottom w:val="nil"/>
              <w:right w:val="nil"/>
            </w:tcBorders>
            <w:shd w:val="clear" w:color="auto" w:fill="auto"/>
            <w:vAlign w:val="center"/>
            <w:hideMark/>
          </w:tcPr>
          <w:p w14:paraId="11021CE3"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lang w:eastAsia="en-GB"/>
              </w:rPr>
              <w:t>2,286</w:t>
            </w:r>
          </w:p>
        </w:tc>
        <w:tc>
          <w:tcPr>
            <w:tcW w:w="1480" w:type="dxa"/>
            <w:tcBorders>
              <w:top w:val="single" w:sz="4" w:space="0" w:color="auto"/>
              <w:left w:val="nil"/>
              <w:bottom w:val="nil"/>
              <w:right w:val="nil"/>
            </w:tcBorders>
            <w:shd w:val="clear" w:color="auto" w:fill="auto"/>
            <w:vAlign w:val="center"/>
            <w:hideMark/>
          </w:tcPr>
          <w:p w14:paraId="191AD854"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lang w:eastAsia="en-GB"/>
              </w:rPr>
              <w:t>1,154</w:t>
            </w:r>
          </w:p>
        </w:tc>
        <w:tc>
          <w:tcPr>
            <w:tcW w:w="960" w:type="dxa"/>
            <w:tcBorders>
              <w:top w:val="single" w:sz="4" w:space="0" w:color="auto"/>
              <w:left w:val="nil"/>
              <w:bottom w:val="nil"/>
              <w:right w:val="nil"/>
            </w:tcBorders>
            <w:shd w:val="clear" w:color="auto" w:fill="auto"/>
            <w:vAlign w:val="center"/>
            <w:hideMark/>
          </w:tcPr>
          <w:p w14:paraId="35E9DA45"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lang w:eastAsia="en-GB"/>
              </w:rPr>
              <w:t>841</w:t>
            </w:r>
          </w:p>
        </w:tc>
        <w:tc>
          <w:tcPr>
            <w:tcW w:w="1160" w:type="dxa"/>
            <w:tcBorders>
              <w:top w:val="single" w:sz="4" w:space="0" w:color="auto"/>
              <w:left w:val="nil"/>
              <w:bottom w:val="nil"/>
              <w:right w:val="nil"/>
            </w:tcBorders>
            <w:shd w:val="clear" w:color="auto" w:fill="auto"/>
            <w:vAlign w:val="center"/>
            <w:hideMark/>
          </w:tcPr>
          <w:p w14:paraId="6767550B"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lang w:eastAsia="en-GB"/>
              </w:rPr>
              <w:t>1,312</w:t>
            </w:r>
          </w:p>
        </w:tc>
        <w:tc>
          <w:tcPr>
            <w:tcW w:w="960" w:type="dxa"/>
            <w:tcBorders>
              <w:top w:val="single" w:sz="4" w:space="0" w:color="auto"/>
              <w:left w:val="nil"/>
              <w:bottom w:val="nil"/>
              <w:right w:val="nil"/>
            </w:tcBorders>
            <w:shd w:val="clear" w:color="auto" w:fill="auto"/>
            <w:vAlign w:val="center"/>
            <w:hideMark/>
          </w:tcPr>
          <w:p w14:paraId="023667E2"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lang w:eastAsia="en-GB"/>
              </w:rPr>
              <w:t>1,290</w:t>
            </w:r>
          </w:p>
        </w:tc>
        <w:tc>
          <w:tcPr>
            <w:tcW w:w="1140" w:type="dxa"/>
            <w:tcBorders>
              <w:top w:val="single" w:sz="4" w:space="0" w:color="auto"/>
              <w:left w:val="nil"/>
              <w:bottom w:val="nil"/>
              <w:right w:val="single" w:sz="4" w:space="0" w:color="auto"/>
            </w:tcBorders>
            <w:shd w:val="clear" w:color="auto" w:fill="auto"/>
            <w:vAlign w:val="center"/>
            <w:hideMark/>
          </w:tcPr>
          <w:p w14:paraId="7C3BF741"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lang w:eastAsia="en-GB"/>
              </w:rPr>
              <w:t>10,714</w:t>
            </w:r>
          </w:p>
        </w:tc>
      </w:tr>
      <w:tr w:rsidR="00565C26" w:rsidRPr="00565C26" w14:paraId="3831AFAD" w14:textId="77777777" w:rsidTr="00565C26">
        <w:trPr>
          <w:trHeight w:val="405"/>
        </w:trPr>
        <w:tc>
          <w:tcPr>
            <w:tcW w:w="3940" w:type="dxa"/>
            <w:tcBorders>
              <w:top w:val="nil"/>
              <w:left w:val="single" w:sz="4" w:space="0" w:color="auto"/>
              <w:bottom w:val="single" w:sz="4" w:space="0" w:color="auto"/>
              <w:right w:val="nil"/>
            </w:tcBorders>
            <w:shd w:val="clear" w:color="auto" w:fill="auto"/>
            <w:vAlign w:val="center"/>
            <w:hideMark/>
          </w:tcPr>
          <w:p w14:paraId="6B4BD9D7" w14:textId="77777777" w:rsidR="00565C26" w:rsidRPr="00565C26" w:rsidRDefault="00565C26" w:rsidP="00565C26">
            <w:pPr>
              <w:spacing w:after="0" w:line="240" w:lineRule="auto"/>
              <w:rPr>
                <w:rFonts w:ascii="Arial" w:eastAsia="Times New Roman" w:hAnsi="Arial" w:cs="Arial"/>
                <w:lang w:eastAsia="en-GB"/>
              </w:rPr>
            </w:pPr>
            <w:r w:rsidRPr="00565C26">
              <w:rPr>
                <w:rFonts w:ascii="Arial" w:eastAsia="Times New Roman" w:hAnsi="Arial" w:cs="Arial"/>
                <w:lang w:eastAsia="en-GB"/>
              </w:rPr>
              <w:t>TRAC full economic costs</w:t>
            </w:r>
          </w:p>
        </w:tc>
        <w:tc>
          <w:tcPr>
            <w:tcW w:w="1220" w:type="dxa"/>
            <w:tcBorders>
              <w:top w:val="nil"/>
              <w:left w:val="nil"/>
              <w:bottom w:val="single" w:sz="4" w:space="0" w:color="auto"/>
              <w:right w:val="nil"/>
            </w:tcBorders>
            <w:shd w:val="clear" w:color="000000" w:fill="D9D9D9"/>
            <w:vAlign w:val="center"/>
            <w:hideMark/>
          </w:tcPr>
          <w:p w14:paraId="57F10464"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lang w:eastAsia="en-GB"/>
              </w:rPr>
              <w:t> </w:t>
            </w:r>
          </w:p>
        </w:tc>
        <w:tc>
          <w:tcPr>
            <w:tcW w:w="1240" w:type="dxa"/>
            <w:tcBorders>
              <w:top w:val="nil"/>
              <w:left w:val="nil"/>
              <w:bottom w:val="single" w:sz="4" w:space="0" w:color="auto"/>
              <w:right w:val="nil"/>
            </w:tcBorders>
            <w:shd w:val="clear" w:color="auto" w:fill="auto"/>
            <w:vAlign w:val="center"/>
            <w:hideMark/>
          </w:tcPr>
          <w:p w14:paraId="544250C3"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lang w:eastAsia="en-GB"/>
              </w:rPr>
              <w:t>2,680</w:t>
            </w:r>
          </w:p>
        </w:tc>
        <w:tc>
          <w:tcPr>
            <w:tcW w:w="1520" w:type="dxa"/>
            <w:tcBorders>
              <w:top w:val="nil"/>
              <w:left w:val="nil"/>
              <w:bottom w:val="single" w:sz="4" w:space="0" w:color="auto"/>
              <w:right w:val="nil"/>
            </w:tcBorders>
            <w:shd w:val="clear" w:color="auto" w:fill="auto"/>
            <w:vAlign w:val="center"/>
            <w:hideMark/>
          </w:tcPr>
          <w:p w14:paraId="0F2119EA"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lang w:eastAsia="en-GB"/>
              </w:rPr>
              <w:t>2,762</w:t>
            </w:r>
          </w:p>
        </w:tc>
        <w:tc>
          <w:tcPr>
            <w:tcW w:w="1340" w:type="dxa"/>
            <w:tcBorders>
              <w:top w:val="nil"/>
              <w:left w:val="nil"/>
              <w:bottom w:val="single" w:sz="4" w:space="0" w:color="auto"/>
              <w:right w:val="nil"/>
            </w:tcBorders>
            <w:shd w:val="clear" w:color="auto" w:fill="auto"/>
            <w:vAlign w:val="center"/>
            <w:hideMark/>
          </w:tcPr>
          <w:p w14:paraId="03EBEE05"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lang w:eastAsia="en-GB"/>
              </w:rPr>
              <w:t>3,088</w:t>
            </w:r>
          </w:p>
        </w:tc>
        <w:tc>
          <w:tcPr>
            <w:tcW w:w="1480" w:type="dxa"/>
            <w:tcBorders>
              <w:top w:val="nil"/>
              <w:left w:val="nil"/>
              <w:bottom w:val="single" w:sz="4" w:space="0" w:color="auto"/>
              <w:right w:val="nil"/>
            </w:tcBorders>
            <w:shd w:val="clear" w:color="auto" w:fill="auto"/>
            <w:vAlign w:val="center"/>
            <w:hideMark/>
          </w:tcPr>
          <w:p w14:paraId="0D16D849"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lang w:eastAsia="en-GB"/>
              </w:rPr>
              <w:t>1,541</w:t>
            </w:r>
          </w:p>
        </w:tc>
        <w:tc>
          <w:tcPr>
            <w:tcW w:w="960" w:type="dxa"/>
            <w:tcBorders>
              <w:top w:val="nil"/>
              <w:left w:val="nil"/>
              <w:bottom w:val="single" w:sz="4" w:space="0" w:color="auto"/>
              <w:right w:val="nil"/>
            </w:tcBorders>
            <w:shd w:val="clear" w:color="auto" w:fill="auto"/>
            <w:vAlign w:val="center"/>
            <w:hideMark/>
          </w:tcPr>
          <w:p w14:paraId="40743146"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lang w:eastAsia="en-GB"/>
              </w:rPr>
              <w:t>1,220</w:t>
            </w:r>
          </w:p>
        </w:tc>
        <w:tc>
          <w:tcPr>
            <w:tcW w:w="1160" w:type="dxa"/>
            <w:tcBorders>
              <w:top w:val="nil"/>
              <w:left w:val="nil"/>
              <w:bottom w:val="single" w:sz="4" w:space="0" w:color="auto"/>
              <w:right w:val="nil"/>
            </w:tcBorders>
            <w:shd w:val="clear" w:color="auto" w:fill="auto"/>
            <w:vAlign w:val="center"/>
            <w:hideMark/>
          </w:tcPr>
          <w:p w14:paraId="44933294"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lang w:eastAsia="en-GB"/>
              </w:rPr>
              <w:t>2,204</w:t>
            </w:r>
          </w:p>
        </w:tc>
        <w:tc>
          <w:tcPr>
            <w:tcW w:w="960" w:type="dxa"/>
            <w:tcBorders>
              <w:top w:val="nil"/>
              <w:left w:val="nil"/>
              <w:bottom w:val="single" w:sz="4" w:space="0" w:color="auto"/>
              <w:right w:val="nil"/>
            </w:tcBorders>
            <w:shd w:val="clear" w:color="auto" w:fill="auto"/>
            <w:vAlign w:val="center"/>
            <w:hideMark/>
          </w:tcPr>
          <w:p w14:paraId="5E084409"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lang w:eastAsia="en-GB"/>
              </w:rPr>
              <w:t>1,670</w:t>
            </w:r>
          </w:p>
        </w:tc>
        <w:tc>
          <w:tcPr>
            <w:tcW w:w="1140" w:type="dxa"/>
            <w:tcBorders>
              <w:top w:val="nil"/>
              <w:left w:val="nil"/>
              <w:bottom w:val="single" w:sz="4" w:space="0" w:color="auto"/>
              <w:right w:val="single" w:sz="4" w:space="0" w:color="auto"/>
            </w:tcBorders>
            <w:shd w:val="clear" w:color="auto" w:fill="auto"/>
            <w:vAlign w:val="center"/>
            <w:hideMark/>
          </w:tcPr>
          <w:p w14:paraId="7E26F92A"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lang w:eastAsia="en-GB"/>
              </w:rPr>
              <w:t>15,166</w:t>
            </w:r>
          </w:p>
        </w:tc>
      </w:tr>
      <w:tr w:rsidR="00565C26" w:rsidRPr="00565C26" w14:paraId="41EF749F" w14:textId="77777777" w:rsidTr="00565C26">
        <w:trPr>
          <w:trHeight w:val="405"/>
        </w:trPr>
        <w:tc>
          <w:tcPr>
            <w:tcW w:w="3940" w:type="dxa"/>
            <w:tcBorders>
              <w:top w:val="nil"/>
              <w:left w:val="single" w:sz="4" w:space="0" w:color="auto"/>
              <w:bottom w:val="single" w:sz="4" w:space="0" w:color="auto"/>
              <w:right w:val="nil"/>
            </w:tcBorders>
            <w:shd w:val="clear" w:color="auto" w:fill="auto"/>
            <w:vAlign w:val="center"/>
            <w:hideMark/>
          </w:tcPr>
          <w:p w14:paraId="652D5D95" w14:textId="77777777" w:rsidR="00565C26" w:rsidRPr="00565C26" w:rsidRDefault="00565C26" w:rsidP="00565C26">
            <w:pPr>
              <w:spacing w:after="0" w:line="240" w:lineRule="auto"/>
              <w:rPr>
                <w:rFonts w:ascii="Arial" w:eastAsia="Times New Roman" w:hAnsi="Arial" w:cs="Arial"/>
                <w:lang w:eastAsia="en-GB"/>
              </w:rPr>
            </w:pPr>
            <w:r w:rsidRPr="00565C26">
              <w:rPr>
                <w:rFonts w:ascii="Arial" w:eastAsia="Times New Roman" w:hAnsi="Arial" w:cs="Arial"/>
                <w:lang w:eastAsia="en-GB"/>
              </w:rPr>
              <w:t>Surplus/(deficit)</w:t>
            </w:r>
          </w:p>
        </w:tc>
        <w:tc>
          <w:tcPr>
            <w:tcW w:w="1220" w:type="dxa"/>
            <w:tcBorders>
              <w:top w:val="nil"/>
              <w:left w:val="nil"/>
              <w:bottom w:val="single" w:sz="4" w:space="0" w:color="auto"/>
              <w:right w:val="nil"/>
            </w:tcBorders>
            <w:shd w:val="clear" w:color="000000" w:fill="D9D9D9"/>
            <w:vAlign w:val="center"/>
            <w:hideMark/>
          </w:tcPr>
          <w:p w14:paraId="186BFFE3"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lang w:eastAsia="en-GB"/>
              </w:rPr>
              <w:t> </w:t>
            </w:r>
          </w:p>
        </w:tc>
        <w:tc>
          <w:tcPr>
            <w:tcW w:w="1240" w:type="dxa"/>
            <w:tcBorders>
              <w:top w:val="nil"/>
              <w:left w:val="nil"/>
              <w:bottom w:val="single" w:sz="4" w:space="0" w:color="auto"/>
              <w:right w:val="nil"/>
            </w:tcBorders>
            <w:shd w:val="clear" w:color="auto" w:fill="auto"/>
            <w:vAlign w:val="center"/>
            <w:hideMark/>
          </w:tcPr>
          <w:p w14:paraId="02446A61"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color w:val="000000"/>
                <w:lang w:eastAsia="en-GB"/>
              </w:rPr>
              <w:t>(2,120)</w:t>
            </w:r>
          </w:p>
        </w:tc>
        <w:tc>
          <w:tcPr>
            <w:tcW w:w="1520" w:type="dxa"/>
            <w:tcBorders>
              <w:top w:val="nil"/>
              <w:left w:val="nil"/>
              <w:bottom w:val="single" w:sz="4" w:space="0" w:color="auto"/>
              <w:right w:val="nil"/>
            </w:tcBorders>
            <w:shd w:val="clear" w:color="auto" w:fill="auto"/>
            <w:vAlign w:val="center"/>
            <w:hideMark/>
          </w:tcPr>
          <w:p w14:paraId="15B1C696"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color w:val="000000"/>
                <w:lang w:eastAsia="en-GB"/>
              </w:rPr>
              <w:t>(1,513)</w:t>
            </w:r>
          </w:p>
        </w:tc>
        <w:tc>
          <w:tcPr>
            <w:tcW w:w="1340" w:type="dxa"/>
            <w:tcBorders>
              <w:top w:val="nil"/>
              <w:left w:val="nil"/>
              <w:bottom w:val="single" w:sz="4" w:space="0" w:color="auto"/>
              <w:right w:val="nil"/>
            </w:tcBorders>
            <w:shd w:val="clear" w:color="auto" w:fill="auto"/>
            <w:vAlign w:val="center"/>
            <w:hideMark/>
          </w:tcPr>
          <w:p w14:paraId="601C1693"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color w:val="000000"/>
                <w:lang w:eastAsia="en-GB"/>
              </w:rPr>
              <w:t>(801)</w:t>
            </w:r>
          </w:p>
        </w:tc>
        <w:tc>
          <w:tcPr>
            <w:tcW w:w="1480" w:type="dxa"/>
            <w:tcBorders>
              <w:top w:val="nil"/>
              <w:left w:val="nil"/>
              <w:bottom w:val="single" w:sz="4" w:space="0" w:color="auto"/>
              <w:right w:val="nil"/>
            </w:tcBorders>
            <w:shd w:val="clear" w:color="auto" w:fill="auto"/>
            <w:vAlign w:val="center"/>
            <w:hideMark/>
          </w:tcPr>
          <w:p w14:paraId="309AEB15"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color w:val="000000"/>
                <w:lang w:eastAsia="en-GB"/>
              </w:rPr>
              <w:t>(387)</w:t>
            </w:r>
          </w:p>
        </w:tc>
        <w:tc>
          <w:tcPr>
            <w:tcW w:w="960" w:type="dxa"/>
            <w:tcBorders>
              <w:top w:val="nil"/>
              <w:left w:val="nil"/>
              <w:bottom w:val="single" w:sz="4" w:space="0" w:color="auto"/>
              <w:right w:val="nil"/>
            </w:tcBorders>
            <w:shd w:val="clear" w:color="auto" w:fill="auto"/>
            <w:vAlign w:val="center"/>
            <w:hideMark/>
          </w:tcPr>
          <w:p w14:paraId="42394AC3"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color w:val="000000"/>
                <w:lang w:eastAsia="en-GB"/>
              </w:rPr>
              <w:t>(380)</w:t>
            </w:r>
          </w:p>
        </w:tc>
        <w:tc>
          <w:tcPr>
            <w:tcW w:w="1160" w:type="dxa"/>
            <w:tcBorders>
              <w:top w:val="nil"/>
              <w:left w:val="nil"/>
              <w:bottom w:val="single" w:sz="4" w:space="0" w:color="auto"/>
              <w:right w:val="nil"/>
            </w:tcBorders>
            <w:shd w:val="clear" w:color="auto" w:fill="auto"/>
            <w:vAlign w:val="center"/>
            <w:hideMark/>
          </w:tcPr>
          <w:p w14:paraId="2AF5F548"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color w:val="000000"/>
                <w:lang w:eastAsia="en-GB"/>
              </w:rPr>
              <w:t>(892)</w:t>
            </w:r>
          </w:p>
        </w:tc>
        <w:tc>
          <w:tcPr>
            <w:tcW w:w="960" w:type="dxa"/>
            <w:tcBorders>
              <w:top w:val="nil"/>
              <w:left w:val="nil"/>
              <w:bottom w:val="single" w:sz="4" w:space="0" w:color="auto"/>
              <w:right w:val="nil"/>
            </w:tcBorders>
            <w:shd w:val="clear" w:color="auto" w:fill="auto"/>
            <w:vAlign w:val="center"/>
            <w:hideMark/>
          </w:tcPr>
          <w:p w14:paraId="38CF87D9"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color w:val="000000"/>
                <w:lang w:eastAsia="en-GB"/>
              </w:rPr>
              <w:t>(380)</w:t>
            </w:r>
          </w:p>
        </w:tc>
        <w:tc>
          <w:tcPr>
            <w:tcW w:w="1140" w:type="dxa"/>
            <w:tcBorders>
              <w:top w:val="nil"/>
              <w:left w:val="nil"/>
              <w:bottom w:val="single" w:sz="4" w:space="0" w:color="auto"/>
              <w:right w:val="single" w:sz="4" w:space="0" w:color="auto"/>
            </w:tcBorders>
            <w:shd w:val="clear" w:color="auto" w:fill="auto"/>
            <w:vAlign w:val="center"/>
            <w:hideMark/>
          </w:tcPr>
          <w:p w14:paraId="0C9B6E9F"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color w:val="000000"/>
                <w:lang w:eastAsia="en-GB"/>
              </w:rPr>
              <w:t>(4,451)</w:t>
            </w:r>
          </w:p>
        </w:tc>
      </w:tr>
      <w:tr w:rsidR="00565C26" w:rsidRPr="00565C26" w14:paraId="1A53CC1A" w14:textId="77777777" w:rsidTr="00D12BB2">
        <w:trPr>
          <w:trHeight w:val="495"/>
        </w:trPr>
        <w:tc>
          <w:tcPr>
            <w:tcW w:w="3940" w:type="dxa"/>
            <w:tcBorders>
              <w:top w:val="nil"/>
              <w:left w:val="single" w:sz="4" w:space="0" w:color="auto"/>
              <w:bottom w:val="nil"/>
              <w:right w:val="nil"/>
            </w:tcBorders>
            <w:shd w:val="clear" w:color="auto" w:fill="auto"/>
            <w:vAlign w:val="center"/>
            <w:hideMark/>
          </w:tcPr>
          <w:p w14:paraId="1A59CDB5" w14:textId="77777777" w:rsidR="00565C26" w:rsidRPr="00565C26" w:rsidRDefault="00565C26" w:rsidP="00D12BB2">
            <w:pPr>
              <w:spacing w:before="60" w:after="0" w:line="240" w:lineRule="auto"/>
              <w:rPr>
                <w:rFonts w:ascii="Arial" w:eastAsia="Times New Roman" w:hAnsi="Arial" w:cs="Arial"/>
                <w:lang w:eastAsia="en-GB"/>
              </w:rPr>
            </w:pPr>
            <w:r w:rsidRPr="00565C26">
              <w:rPr>
                <w:rFonts w:ascii="Arial" w:eastAsia="Times New Roman" w:hAnsi="Arial" w:cs="Arial"/>
                <w:lang w:eastAsia="en-GB"/>
              </w:rPr>
              <w:t>Surplus/(deficit) as % of income</w:t>
            </w:r>
          </w:p>
        </w:tc>
        <w:tc>
          <w:tcPr>
            <w:tcW w:w="1220" w:type="dxa"/>
            <w:tcBorders>
              <w:top w:val="nil"/>
              <w:left w:val="nil"/>
              <w:bottom w:val="nil"/>
              <w:right w:val="nil"/>
            </w:tcBorders>
            <w:shd w:val="clear" w:color="000000" w:fill="D9D9D9"/>
            <w:vAlign w:val="center"/>
            <w:hideMark/>
          </w:tcPr>
          <w:p w14:paraId="02355959"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lang w:eastAsia="en-GB"/>
              </w:rPr>
              <w:t> </w:t>
            </w:r>
          </w:p>
        </w:tc>
        <w:tc>
          <w:tcPr>
            <w:tcW w:w="1240" w:type="dxa"/>
            <w:tcBorders>
              <w:top w:val="nil"/>
              <w:left w:val="nil"/>
              <w:bottom w:val="nil"/>
              <w:right w:val="nil"/>
            </w:tcBorders>
            <w:shd w:val="clear" w:color="auto" w:fill="auto"/>
            <w:vAlign w:val="center"/>
            <w:hideMark/>
          </w:tcPr>
          <w:p w14:paraId="53B14E79"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color w:val="000000"/>
                <w:lang w:eastAsia="en-GB"/>
              </w:rPr>
              <w:t>(</w:t>
            </w:r>
            <w:proofErr w:type="gramStart"/>
            <w:r w:rsidRPr="00565C26">
              <w:rPr>
                <w:rFonts w:ascii="Arial" w:eastAsia="Times New Roman" w:hAnsi="Arial" w:cs="Arial"/>
                <w:color w:val="000000"/>
                <w:lang w:eastAsia="en-GB"/>
              </w:rPr>
              <w:t>378.1)%</w:t>
            </w:r>
            <w:proofErr w:type="gramEnd"/>
          </w:p>
        </w:tc>
        <w:tc>
          <w:tcPr>
            <w:tcW w:w="1520" w:type="dxa"/>
            <w:tcBorders>
              <w:top w:val="nil"/>
              <w:left w:val="nil"/>
              <w:bottom w:val="nil"/>
              <w:right w:val="nil"/>
            </w:tcBorders>
            <w:shd w:val="clear" w:color="auto" w:fill="auto"/>
            <w:vAlign w:val="center"/>
            <w:hideMark/>
          </w:tcPr>
          <w:p w14:paraId="541C5911"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color w:val="000000"/>
                <w:lang w:eastAsia="en-GB"/>
              </w:rPr>
              <w:t>(</w:t>
            </w:r>
            <w:proofErr w:type="gramStart"/>
            <w:r w:rsidRPr="00565C26">
              <w:rPr>
                <w:rFonts w:ascii="Arial" w:eastAsia="Times New Roman" w:hAnsi="Arial" w:cs="Arial"/>
                <w:color w:val="000000"/>
                <w:lang w:eastAsia="en-GB"/>
              </w:rPr>
              <w:t>121.2)%</w:t>
            </w:r>
            <w:proofErr w:type="gramEnd"/>
          </w:p>
        </w:tc>
        <w:tc>
          <w:tcPr>
            <w:tcW w:w="1340" w:type="dxa"/>
            <w:tcBorders>
              <w:top w:val="nil"/>
              <w:left w:val="nil"/>
              <w:bottom w:val="nil"/>
              <w:right w:val="nil"/>
            </w:tcBorders>
            <w:shd w:val="clear" w:color="auto" w:fill="auto"/>
            <w:vAlign w:val="center"/>
            <w:hideMark/>
          </w:tcPr>
          <w:p w14:paraId="5E91BB3D"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color w:val="000000"/>
                <w:lang w:eastAsia="en-GB"/>
              </w:rPr>
              <w:t>(</w:t>
            </w:r>
            <w:proofErr w:type="gramStart"/>
            <w:r w:rsidRPr="00565C26">
              <w:rPr>
                <w:rFonts w:ascii="Arial" w:eastAsia="Times New Roman" w:hAnsi="Arial" w:cs="Arial"/>
                <w:color w:val="000000"/>
                <w:lang w:eastAsia="en-GB"/>
              </w:rPr>
              <w:t>35.0)%</w:t>
            </w:r>
            <w:proofErr w:type="gramEnd"/>
          </w:p>
        </w:tc>
        <w:tc>
          <w:tcPr>
            <w:tcW w:w="1480" w:type="dxa"/>
            <w:tcBorders>
              <w:top w:val="nil"/>
              <w:left w:val="nil"/>
              <w:bottom w:val="nil"/>
              <w:right w:val="nil"/>
            </w:tcBorders>
            <w:shd w:val="clear" w:color="auto" w:fill="auto"/>
            <w:vAlign w:val="center"/>
            <w:hideMark/>
          </w:tcPr>
          <w:p w14:paraId="17C8F9BD"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color w:val="000000"/>
                <w:lang w:eastAsia="en-GB"/>
              </w:rPr>
              <w:t>(</w:t>
            </w:r>
            <w:proofErr w:type="gramStart"/>
            <w:r w:rsidRPr="00565C26">
              <w:rPr>
                <w:rFonts w:ascii="Arial" w:eastAsia="Times New Roman" w:hAnsi="Arial" w:cs="Arial"/>
                <w:color w:val="000000"/>
                <w:lang w:eastAsia="en-GB"/>
              </w:rPr>
              <w:t>33.5)%</w:t>
            </w:r>
            <w:proofErr w:type="gramEnd"/>
          </w:p>
        </w:tc>
        <w:tc>
          <w:tcPr>
            <w:tcW w:w="960" w:type="dxa"/>
            <w:tcBorders>
              <w:top w:val="nil"/>
              <w:left w:val="nil"/>
              <w:bottom w:val="nil"/>
              <w:right w:val="nil"/>
            </w:tcBorders>
            <w:shd w:val="clear" w:color="auto" w:fill="auto"/>
            <w:vAlign w:val="center"/>
            <w:hideMark/>
          </w:tcPr>
          <w:p w14:paraId="142194B0"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color w:val="000000"/>
                <w:lang w:eastAsia="en-GB"/>
              </w:rPr>
              <w:t>(</w:t>
            </w:r>
            <w:proofErr w:type="gramStart"/>
            <w:r w:rsidRPr="00565C26">
              <w:rPr>
                <w:rFonts w:ascii="Arial" w:eastAsia="Times New Roman" w:hAnsi="Arial" w:cs="Arial"/>
                <w:color w:val="000000"/>
                <w:lang w:eastAsia="en-GB"/>
              </w:rPr>
              <w:t>45.1)%</w:t>
            </w:r>
            <w:proofErr w:type="gramEnd"/>
          </w:p>
        </w:tc>
        <w:tc>
          <w:tcPr>
            <w:tcW w:w="1160" w:type="dxa"/>
            <w:tcBorders>
              <w:top w:val="nil"/>
              <w:left w:val="nil"/>
              <w:bottom w:val="nil"/>
              <w:right w:val="nil"/>
            </w:tcBorders>
            <w:shd w:val="clear" w:color="auto" w:fill="auto"/>
            <w:vAlign w:val="center"/>
            <w:hideMark/>
          </w:tcPr>
          <w:p w14:paraId="6751F349"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color w:val="000000"/>
                <w:lang w:eastAsia="en-GB"/>
              </w:rPr>
              <w:t>(</w:t>
            </w:r>
            <w:proofErr w:type="gramStart"/>
            <w:r w:rsidRPr="00565C26">
              <w:rPr>
                <w:rFonts w:ascii="Arial" w:eastAsia="Times New Roman" w:hAnsi="Arial" w:cs="Arial"/>
                <w:color w:val="000000"/>
                <w:lang w:eastAsia="en-GB"/>
              </w:rPr>
              <w:t>68.0)%</w:t>
            </w:r>
            <w:proofErr w:type="gramEnd"/>
          </w:p>
        </w:tc>
        <w:tc>
          <w:tcPr>
            <w:tcW w:w="960" w:type="dxa"/>
            <w:tcBorders>
              <w:top w:val="nil"/>
              <w:left w:val="nil"/>
              <w:bottom w:val="nil"/>
              <w:right w:val="nil"/>
            </w:tcBorders>
            <w:shd w:val="clear" w:color="auto" w:fill="auto"/>
            <w:vAlign w:val="center"/>
            <w:hideMark/>
          </w:tcPr>
          <w:p w14:paraId="4DEF1F12"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color w:val="000000"/>
                <w:lang w:eastAsia="en-GB"/>
              </w:rPr>
              <w:t>(</w:t>
            </w:r>
            <w:proofErr w:type="gramStart"/>
            <w:r w:rsidRPr="00565C26">
              <w:rPr>
                <w:rFonts w:ascii="Arial" w:eastAsia="Times New Roman" w:hAnsi="Arial" w:cs="Arial"/>
                <w:color w:val="000000"/>
                <w:lang w:eastAsia="en-GB"/>
              </w:rPr>
              <w:t>29.5)%</w:t>
            </w:r>
            <w:proofErr w:type="gramEnd"/>
          </w:p>
        </w:tc>
        <w:tc>
          <w:tcPr>
            <w:tcW w:w="1140" w:type="dxa"/>
            <w:tcBorders>
              <w:top w:val="nil"/>
              <w:left w:val="nil"/>
              <w:bottom w:val="nil"/>
              <w:right w:val="single" w:sz="4" w:space="0" w:color="auto"/>
            </w:tcBorders>
            <w:shd w:val="clear" w:color="auto" w:fill="auto"/>
            <w:vAlign w:val="center"/>
            <w:hideMark/>
          </w:tcPr>
          <w:p w14:paraId="6987D06D"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color w:val="000000"/>
                <w:lang w:eastAsia="en-GB"/>
              </w:rPr>
              <w:t>(</w:t>
            </w:r>
            <w:proofErr w:type="gramStart"/>
            <w:r w:rsidRPr="00565C26">
              <w:rPr>
                <w:rFonts w:ascii="Arial" w:eastAsia="Times New Roman" w:hAnsi="Arial" w:cs="Arial"/>
                <w:color w:val="000000"/>
                <w:lang w:eastAsia="en-GB"/>
              </w:rPr>
              <w:t>41.5)%</w:t>
            </w:r>
            <w:proofErr w:type="gramEnd"/>
          </w:p>
        </w:tc>
      </w:tr>
      <w:tr w:rsidR="00565C26" w:rsidRPr="00565C26" w14:paraId="52F8BD28" w14:textId="77777777" w:rsidTr="001B3B76">
        <w:trPr>
          <w:trHeight w:val="569"/>
        </w:trPr>
        <w:tc>
          <w:tcPr>
            <w:tcW w:w="3940" w:type="dxa"/>
            <w:tcBorders>
              <w:top w:val="nil"/>
              <w:left w:val="single" w:sz="4" w:space="0" w:color="auto"/>
              <w:bottom w:val="nil"/>
              <w:right w:val="nil"/>
            </w:tcBorders>
            <w:shd w:val="clear" w:color="auto" w:fill="auto"/>
            <w:vAlign w:val="center"/>
            <w:hideMark/>
          </w:tcPr>
          <w:p w14:paraId="1BC9C781" w14:textId="77777777" w:rsidR="00565C26" w:rsidRPr="00565C26" w:rsidRDefault="00565C26" w:rsidP="00565C26">
            <w:pPr>
              <w:spacing w:after="0" w:line="240" w:lineRule="auto"/>
              <w:rPr>
                <w:rFonts w:ascii="Arial" w:eastAsia="Times New Roman" w:hAnsi="Arial" w:cs="Arial"/>
                <w:b/>
                <w:bCs/>
                <w:lang w:eastAsia="en-GB"/>
              </w:rPr>
            </w:pPr>
            <w:r w:rsidRPr="00565C26">
              <w:rPr>
                <w:rFonts w:ascii="Arial" w:eastAsia="Times New Roman" w:hAnsi="Arial" w:cs="Arial"/>
                <w:b/>
                <w:bCs/>
                <w:lang w:eastAsia="en-GB"/>
              </w:rPr>
              <w:t>Recovery of full economic costs %</w:t>
            </w:r>
          </w:p>
        </w:tc>
        <w:tc>
          <w:tcPr>
            <w:tcW w:w="1220" w:type="dxa"/>
            <w:tcBorders>
              <w:top w:val="nil"/>
              <w:left w:val="nil"/>
              <w:bottom w:val="nil"/>
              <w:right w:val="nil"/>
            </w:tcBorders>
            <w:shd w:val="clear" w:color="000000" w:fill="D9D9D9"/>
            <w:vAlign w:val="center"/>
            <w:hideMark/>
          </w:tcPr>
          <w:p w14:paraId="26F77356" w14:textId="77777777" w:rsidR="00565C26" w:rsidRPr="00565C26" w:rsidRDefault="00565C26" w:rsidP="00565C26">
            <w:pPr>
              <w:spacing w:after="0" w:line="240" w:lineRule="auto"/>
              <w:jc w:val="right"/>
              <w:rPr>
                <w:rFonts w:ascii="Arial" w:eastAsia="Times New Roman" w:hAnsi="Arial" w:cs="Arial"/>
                <w:b/>
                <w:bCs/>
                <w:lang w:eastAsia="en-GB"/>
              </w:rPr>
            </w:pPr>
            <w:r w:rsidRPr="00565C26">
              <w:rPr>
                <w:rFonts w:ascii="Arial" w:eastAsia="Times New Roman" w:hAnsi="Arial" w:cs="Arial"/>
                <w:b/>
                <w:bCs/>
                <w:lang w:eastAsia="en-GB"/>
              </w:rPr>
              <w:t> </w:t>
            </w:r>
          </w:p>
        </w:tc>
        <w:tc>
          <w:tcPr>
            <w:tcW w:w="1240" w:type="dxa"/>
            <w:tcBorders>
              <w:top w:val="nil"/>
              <w:left w:val="nil"/>
              <w:bottom w:val="nil"/>
              <w:right w:val="nil"/>
            </w:tcBorders>
            <w:shd w:val="clear" w:color="auto" w:fill="auto"/>
            <w:vAlign w:val="center"/>
            <w:hideMark/>
          </w:tcPr>
          <w:p w14:paraId="7E106B0D" w14:textId="77777777" w:rsidR="00565C26" w:rsidRPr="00565C26" w:rsidRDefault="00565C26" w:rsidP="00565C26">
            <w:pPr>
              <w:spacing w:after="0" w:line="240" w:lineRule="auto"/>
              <w:jc w:val="right"/>
              <w:rPr>
                <w:rFonts w:ascii="Arial" w:eastAsia="Times New Roman" w:hAnsi="Arial" w:cs="Arial"/>
                <w:b/>
                <w:bCs/>
                <w:lang w:eastAsia="en-GB"/>
              </w:rPr>
            </w:pPr>
            <w:r w:rsidRPr="00565C26">
              <w:rPr>
                <w:rFonts w:ascii="Arial" w:eastAsia="Times New Roman" w:hAnsi="Arial" w:cs="Arial"/>
                <w:b/>
                <w:bCs/>
                <w:lang w:eastAsia="en-GB"/>
              </w:rPr>
              <w:t>20.9%</w:t>
            </w:r>
          </w:p>
        </w:tc>
        <w:tc>
          <w:tcPr>
            <w:tcW w:w="1520" w:type="dxa"/>
            <w:tcBorders>
              <w:top w:val="nil"/>
              <w:left w:val="nil"/>
              <w:bottom w:val="nil"/>
              <w:right w:val="nil"/>
            </w:tcBorders>
            <w:shd w:val="clear" w:color="auto" w:fill="auto"/>
            <w:vAlign w:val="center"/>
            <w:hideMark/>
          </w:tcPr>
          <w:p w14:paraId="56E7D67F" w14:textId="77777777" w:rsidR="00565C26" w:rsidRPr="00565C26" w:rsidRDefault="00565C26" w:rsidP="00565C26">
            <w:pPr>
              <w:spacing w:after="0" w:line="240" w:lineRule="auto"/>
              <w:jc w:val="right"/>
              <w:rPr>
                <w:rFonts w:ascii="Arial" w:eastAsia="Times New Roman" w:hAnsi="Arial" w:cs="Arial"/>
                <w:b/>
                <w:bCs/>
                <w:lang w:eastAsia="en-GB"/>
              </w:rPr>
            </w:pPr>
            <w:r w:rsidRPr="00565C26">
              <w:rPr>
                <w:rFonts w:ascii="Arial" w:eastAsia="Times New Roman" w:hAnsi="Arial" w:cs="Arial"/>
                <w:b/>
                <w:bCs/>
                <w:lang w:eastAsia="en-GB"/>
              </w:rPr>
              <w:t>45.2%</w:t>
            </w:r>
          </w:p>
        </w:tc>
        <w:tc>
          <w:tcPr>
            <w:tcW w:w="1340" w:type="dxa"/>
            <w:tcBorders>
              <w:top w:val="nil"/>
              <w:left w:val="nil"/>
              <w:bottom w:val="nil"/>
              <w:right w:val="nil"/>
            </w:tcBorders>
            <w:shd w:val="clear" w:color="auto" w:fill="auto"/>
            <w:vAlign w:val="center"/>
            <w:hideMark/>
          </w:tcPr>
          <w:p w14:paraId="171C9AE2" w14:textId="77777777" w:rsidR="00565C26" w:rsidRPr="00565C26" w:rsidRDefault="00565C26" w:rsidP="00565C26">
            <w:pPr>
              <w:spacing w:after="0" w:line="240" w:lineRule="auto"/>
              <w:jc w:val="right"/>
              <w:rPr>
                <w:rFonts w:ascii="Arial" w:eastAsia="Times New Roman" w:hAnsi="Arial" w:cs="Arial"/>
                <w:b/>
                <w:bCs/>
                <w:lang w:eastAsia="en-GB"/>
              </w:rPr>
            </w:pPr>
            <w:r w:rsidRPr="00565C26">
              <w:rPr>
                <w:rFonts w:ascii="Arial" w:eastAsia="Times New Roman" w:hAnsi="Arial" w:cs="Arial"/>
                <w:b/>
                <w:bCs/>
                <w:lang w:eastAsia="en-GB"/>
              </w:rPr>
              <w:t>74.0%</w:t>
            </w:r>
          </w:p>
        </w:tc>
        <w:tc>
          <w:tcPr>
            <w:tcW w:w="1480" w:type="dxa"/>
            <w:tcBorders>
              <w:top w:val="nil"/>
              <w:left w:val="nil"/>
              <w:bottom w:val="nil"/>
              <w:right w:val="nil"/>
            </w:tcBorders>
            <w:shd w:val="clear" w:color="auto" w:fill="auto"/>
            <w:vAlign w:val="center"/>
            <w:hideMark/>
          </w:tcPr>
          <w:p w14:paraId="3F6E9449" w14:textId="77777777" w:rsidR="00565C26" w:rsidRPr="00565C26" w:rsidRDefault="00565C26" w:rsidP="00565C26">
            <w:pPr>
              <w:spacing w:after="0" w:line="240" w:lineRule="auto"/>
              <w:jc w:val="right"/>
              <w:rPr>
                <w:rFonts w:ascii="Arial" w:eastAsia="Times New Roman" w:hAnsi="Arial" w:cs="Arial"/>
                <w:b/>
                <w:bCs/>
                <w:lang w:eastAsia="en-GB"/>
              </w:rPr>
            </w:pPr>
            <w:r w:rsidRPr="00565C26">
              <w:rPr>
                <w:rFonts w:ascii="Arial" w:eastAsia="Times New Roman" w:hAnsi="Arial" w:cs="Arial"/>
                <w:b/>
                <w:bCs/>
                <w:lang w:eastAsia="en-GB"/>
              </w:rPr>
              <w:t>74.9%</w:t>
            </w:r>
          </w:p>
        </w:tc>
        <w:tc>
          <w:tcPr>
            <w:tcW w:w="960" w:type="dxa"/>
            <w:tcBorders>
              <w:top w:val="nil"/>
              <w:left w:val="nil"/>
              <w:bottom w:val="nil"/>
              <w:right w:val="nil"/>
            </w:tcBorders>
            <w:shd w:val="clear" w:color="auto" w:fill="auto"/>
            <w:vAlign w:val="center"/>
            <w:hideMark/>
          </w:tcPr>
          <w:p w14:paraId="103B999A" w14:textId="77777777" w:rsidR="00565C26" w:rsidRPr="00565C26" w:rsidRDefault="00565C26" w:rsidP="00565C26">
            <w:pPr>
              <w:spacing w:after="0" w:line="240" w:lineRule="auto"/>
              <w:jc w:val="right"/>
              <w:rPr>
                <w:rFonts w:ascii="Arial" w:eastAsia="Times New Roman" w:hAnsi="Arial" w:cs="Arial"/>
                <w:b/>
                <w:bCs/>
                <w:lang w:eastAsia="en-GB"/>
              </w:rPr>
            </w:pPr>
            <w:r w:rsidRPr="00565C26">
              <w:rPr>
                <w:rFonts w:ascii="Arial" w:eastAsia="Times New Roman" w:hAnsi="Arial" w:cs="Arial"/>
                <w:b/>
                <w:bCs/>
                <w:lang w:eastAsia="en-GB"/>
              </w:rPr>
              <w:t>68.9%</w:t>
            </w:r>
          </w:p>
        </w:tc>
        <w:tc>
          <w:tcPr>
            <w:tcW w:w="1160" w:type="dxa"/>
            <w:tcBorders>
              <w:top w:val="nil"/>
              <w:left w:val="nil"/>
              <w:bottom w:val="nil"/>
              <w:right w:val="nil"/>
            </w:tcBorders>
            <w:shd w:val="clear" w:color="auto" w:fill="auto"/>
            <w:vAlign w:val="center"/>
            <w:hideMark/>
          </w:tcPr>
          <w:p w14:paraId="59805DB2" w14:textId="77777777" w:rsidR="00565C26" w:rsidRPr="00565C26" w:rsidRDefault="00565C26" w:rsidP="00565C26">
            <w:pPr>
              <w:spacing w:after="0" w:line="240" w:lineRule="auto"/>
              <w:jc w:val="right"/>
              <w:rPr>
                <w:rFonts w:ascii="Arial" w:eastAsia="Times New Roman" w:hAnsi="Arial" w:cs="Arial"/>
                <w:b/>
                <w:bCs/>
                <w:lang w:eastAsia="en-GB"/>
              </w:rPr>
            </w:pPr>
            <w:r w:rsidRPr="00565C26">
              <w:rPr>
                <w:rFonts w:ascii="Arial" w:eastAsia="Times New Roman" w:hAnsi="Arial" w:cs="Arial"/>
                <w:b/>
                <w:bCs/>
                <w:lang w:eastAsia="en-GB"/>
              </w:rPr>
              <w:t>59.5%</w:t>
            </w:r>
          </w:p>
        </w:tc>
        <w:tc>
          <w:tcPr>
            <w:tcW w:w="960" w:type="dxa"/>
            <w:tcBorders>
              <w:top w:val="nil"/>
              <w:left w:val="nil"/>
              <w:bottom w:val="nil"/>
              <w:right w:val="nil"/>
            </w:tcBorders>
            <w:shd w:val="clear" w:color="auto" w:fill="auto"/>
            <w:vAlign w:val="center"/>
            <w:hideMark/>
          </w:tcPr>
          <w:p w14:paraId="2C974AB6" w14:textId="77777777" w:rsidR="00565C26" w:rsidRPr="00565C26" w:rsidRDefault="00565C26" w:rsidP="00565C26">
            <w:pPr>
              <w:spacing w:after="0" w:line="240" w:lineRule="auto"/>
              <w:jc w:val="right"/>
              <w:rPr>
                <w:rFonts w:ascii="Arial" w:eastAsia="Times New Roman" w:hAnsi="Arial" w:cs="Arial"/>
                <w:b/>
                <w:bCs/>
                <w:lang w:eastAsia="en-GB"/>
              </w:rPr>
            </w:pPr>
            <w:r w:rsidRPr="00565C26">
              <w:rPr>
                <w:rFonts w:ascii="Arial" w:eastAsia="Times New Roman" w:hAnsi="Arial" w:cs="Arial"/>
                <w:b/>
                <w:bCs/>
                <w:lang w:eastAsia="en-GB"/>
              </w:rPr>
              <w:t>77.2%</w:t>
            </w:r>
          </w:p>
        </w:tc>
        <w:tc>
          <w:tcPr>
            <w:tcW w:w="1140" w:type="dxa"/>
            <w:tcBorders>
              <w:top w:val="nil"/>
              <w:left w:val="nil"/>
              <w:bottom w:val="nil"/>
              <w:right w:val="single" w:sz="4" w:space="0" w:color="auto"/>
            </w:tcBorders>
            <w:shd w:val="clear" w:color="auto" w:fill="auto"/>
            <w:vAlign w:val="center"/>
            <w:hideMark/>
          </w:tcPr>
          <w:p w14:paraId="4319E1D0" w14:textId="77777777" w:rsidR="00565C26" w:rsidRPr="00565C26" w:rsidRDefault="00565C26" w:rsidP="00565C26">
            <w:pPr>
              <w:spacing w:after="0" w:line="240" w:lineRule="auto"/>
              <w:jc w:val="right"/>
              <w:rPr>
                <w:rFonts w:ascii="Arial" w:eastAsia="Times New Roman" w:hAnsi="Arial" w:cs="Arial"/>
                <w:b/>
                <w:bCs/>
                <w:lang w:eastAsia="en-GB"/>
              </w:rPr>
            </w:pPr>
            <w:r w:rsidRPr="00565C26">
              <w:rPr>
                <w:rFonts w:ascii="Arial" w:eastAsia="Times New Roman" w:hAnsi="Arial" w:cs="Arial"/>
                <w:b/>
                <w:bCs/>
                <w:lang w:eastAsia="en-GB"/>
              </w:rPr>
              <w:t>70.6%</w:t>
            </w:r>
          </w:p>
        </w:tc>
      </w:tr>
      <w:tr w:rsidR="00565C26" w:rsidRPr="00565C26" w14:paraId="33D3252F" w14:textId="77777777" w:rsidTr="00565C26">
        <w:trPr>
          <w:trHeight w:val="690"/>
        </w:trPr>
        <w:tc>
          <w:tcPr>
            <w:tcW w:w="3940" w:type="dxa"/>
            <w:tcBorders>
              <w:top w:val="nil"/>
              <w:left w:val="single" w:sz="4" w:space="0" w:color="auto"/>
              <w:bottom w:val="single" w:sz="4" w:space="0" w:color="auto"/>
              <w:right w:val="nil"/>
            </w:tcBorders>
            <w:shd w:val="clear" w:color="auto" w:fill="auto"/>
            <w:vAlign w:val="center"/>
            <w:hideMark/>
          </w:tcPr>
          <w:p w14:paraId="2B7D8425" w14:textId="77777777" w:rsidR="00565C26" w:rsidRPr="00565C26" w:rsidRDefault="00565C26" w:rsidP="00565C26">
            <w:pPr>
              <w:spacing w:after="0" w:line="240" w:lineRule="auto"/>
              <w:rPr>
                <w:rFonts w:ascii="Arial" w:eastAsia="Times New Roman" w:hAnsi="Arial" w:cs="Arial"/>
                <w:lang w:eastAsia="en-GB"/>
              </w:rPr>
            </w:pPr>
            <w:r w:rsidRPr="00565C26">
              <w:rPr>
                <w:rFonts w:ascii="Arial" w:eastAsia="Times New Roman" w:hAnsi="Arial" w:cs="Arial"/>
                <w:lang w:eastAsia="en-GB"/>
              </w:rPr>
              <w:t>Recovery of full economic costs % (2017-18)</w:t>
            </w:r>
          </w:p>
        </w:tc>
        <w:tc>
          <w:tcPr>
            <w:tcW w:w="1220" w:type="dxa"/>
            <w:tcBorders>
              <w:top w:val="nil"/>
              <w:left w:val="nil"/>
              <w:bottom w:val="single" w:sz="4" w:space="0" w:color="auto"/>
              <w:right w:val="nil"/>
            </w:tcBorders>
            <w:shd w:val="clear" w:color="000000" w:fill="D9D9D9"/>
            <w:vAlign w:val="center"/>
            <w:hideMark/>
          </w:tcPr>
          <w:p w14:paraId="09434667"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lang w:eastAsia="en-GB"/>
              </w:rPr>
              <w:t> </w:t>
            </w:r>
          </w:p>
        </w:tc>
        <w:tc>
          <w:tcPr>
            <w:tcW w:w="1240" w:type="dxa"/>
            <w:tcBorders>
              <w:top w:val="nil"/>
              <w:left w:val="nil"/>
              <w:bottom w:val="single" w:sz="4" w:space="0" w:color="auto"/>
              <w:right w:val="nil"/>
            </w:tcBorders>
            <w:shd w:val="clear" w:color="auto" w:fill="auto"/>
            <w:vAlign w:val="center"/>
            <w:hideMark/>
          </w:tcPr>
          <w:p w14:paraId="74F0916A"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lang w:eastAsia="en-GB"/>
              </w:rPr>
              <w:t>17.1%</w:t>
            </w:r>
          </w:p>
        </w:tc>
        <w:tc>
          <w:tcPr>
            <w:tcW w:w="1520" w:type="dxa"/>
            <w:tcBorders>
              <w:top w:val="nil"/>
              <w:left w:val="nil"/>
              <w:bottom w:val="single" w:sz="4" w:space="0" w:color="auto"/>
              <w:right w:val="nil"/>
            </w:tcBorders>
            <w:shd w:val="clear" w:color="auto" w:fill="auto"/>
            <w:vAlign w:val="center"/>
            <w:hideMark/>
          </w:tcPr>
          <w:p w14:paraId="4C0791F5"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lang w:eastAsia="en-GB"/>
              </w:rPr>
              <w:t>46.4%</w:t>
            </w:r>
          </w:p>
        </w:tc>
        <w:tc>
          <w:tcPr>
            <w:tcW w:w="1340" w:type="dxa"/>
            <w:tcBorders>
              <w:top w:val="nil"/>
              <w:left w:val="nil"/>
              <w:bottom w:val="single" w:sz="4" w:space="0" w:color="auto"/>
              <w:right w:val="nil"/>
            </w:tcBorders>
            <w:shd w:val="clear" w:color="auto" w:fill="auto"/>
            <w:vAlign w:val="center"/>
            <w:hideMark/>
          </w:tcPr>
          <w:p w14:paraId="597746FC"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lang w:eastAsia="en-GB"/>
              </w:rPr>
              <w:t>71.9%</w:t>
            </w:r>
          </w:p>
        </w:tc>
        <w:tc>
          <w:tcPr>
            <w:tcW w:w="1480" w:type="dxa"/>
            <w:tcBorders>
              <w:top w:val="nil"/>
              <w:left w:val="nil"/>
              <w:bottom w:val="single" w:sz="4" w:space="0" w:color="auto"/>
              <w:right w:val="nil"/>
            </w:tcBorders>
            <w:shd w:val="clear" w:color="auto" w:fill="auto"/>
            <w:vAlign w:val="center"/>
            <w:hideMark/>
          </w:tcPr>
          <w:p w14:paraId="4FEB095D"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lang w:eastAsia="en-GB"/>
              </w:rPr>
              <w:t>76.9%</w:t>
            </w:r>
          </w:p>
        </w:tc>
        <w:tc>
          <w:tcPr>
            <w:tcW w:w="960" w:type="dxa"/>
            <w:tcBorders>
              <w:top w:val="nil"/>
              <w:left w:val="nil"/>
              <w:bottom w:val="single" w:sz="4" w:space="0" w:color="auto"/>
              <w:right w:val="nil"/>
            </w:tcBorders>
            <w:shd w:val="clear" w:color="auto" w:fill="auto"/>
            <w:vAlign w:val="center"/>
            <w:hideMark/>
          </w:tcPr>
          <w:p w14:paraId="06D30A22"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lang w:eastAsia="en-GB"/>
              </w:rPr>
              <w:t>65.9%</w:t>
            </w:r>
          </w:p>
        </w:tc>
        <w:tc>
          <w:tcPr>
            <w:tcW w:w="1160" w:type="dxa"/>
            <w:tcBorders>
              <w:top w:val="nil"/>
              <w:left w:val="nil"/>
              <w:bottom w:val="single" w:sz="4" w:space="0" w:color="auto"/>
              <w:right w:val="nil"/>
            </w:tcBorders>
            <w:shd w:val="clear" w:color="auto" w:fill="auto"/>
            <w:vAlign w:val="center"/>
            <w:hideMark/>
          </w:tcPr>
          <w:p w14:paraId="6938698E"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lang w:eastAsia="en-GB"/>
              </w:rPr>
              <w:t>60.5%</w:t>
            </w:r>
          </w:p>
        </w:tc>
        <w:tc>
          <w:tcPr>
            <w:tcW w:w="960" w:type="dxa"/>
            <w:tcBorders>
              <w:top w:val="nil"/>
              <w:left w:val="nil"/>
              <w:bottom w:val="single" w:sz="4" w:space="0" w:color="auto"/>
              <w:right w:val="nil"/>
            </w:tcBorders>
            <w:shd w:val="clear" w:color="auto" w:fill="auto"/>
            <w:vAlign w:val="center"/>
            <w:hideMark/>
          </w:tcPr>
          <w:p w14:paraId="3436570F"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lang w:eastAsia="en-GB"/>
              </w:rPr>
              <w:t>76.6%</w:t>
            </w:r>
          </w:p>
        </w:tc>
        <w:tc>
          <w:tcPr>
            <w:tcW w:w="1140" w:type="dxa"/>
            <w:tcBorders>
              <w:top w:val="nil"/>
              <w:left w:val="nil"/>
              <w:bottom w:val="single" w:sz="4" w:space="0" w:color="auto"/>
              <w:right w:val="single" w:sz="4" w:space="0" w:color="auto"/>
            </w:tcBorders>
            <w:shd w:val="clear" w:color="auto" w:fill="auto"/>
            <w:vAlign w:val="center"/>
            <w:hideMark/>
          </w:tcPr>
          <w:p w14:paraId="23B6B890"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lang w:eastAsia="en-GB"/>
              </w:rPr>
              <w:t>70.0%</w:t>
            </w:r>
          </w:p>
        </w:tc>
      </w:tr>
      <w:tr w:rsidR="00565C26" w:rsidRPr="00565C26" w14:paraId="2B22A864" w14:textId="77777777" w:rsidTr="00565C26">
        <w:trPr>
          <w:trHeight w:val="357"/>
        </w:trPr>
        <w:tc>
          <w:tcPr>
            <w:tcW w:w="3940" w:type="dxa"/>
            <w:tcBorders>
              <w:top w:val="nil"/>
              <w:left w:val="single" w:sz="4" w:space="0" w:color="auto"/>
              <w:bottom w:val="nil"/>
              <w:right w:val="nil"/>
            </w:tcBorders>
            <w:shd w:val="clear" w:color="auto" w:fill="auto"/>
            <w:vAlign w:val="center"/>
            <w:hideMark/>
          </w:tcPr>
          <w:p w14:paraId="464650BE" w14:textId="77777777" w:rsidR="00565C26" w:rsidRPr="00565C26" w:rsidRDefault="00565C26" w:rsidP="00565C26">
            <w:pPr>
              <w:spacing w:after="0" w:line="240" w:lineRule="auto"/>
              <w:rPr>
                <w:rFonts w:ascii="Arial" w:eastAsia="Times New Roman" w:hAnsi="Arial" w:cs="Arial"/>
                <w:b/>
                <w:bCs/>
                <w:lang w:eastAsia="en-GB"/>
              </w:rPr>
            </w:pPr>
            <w:r w:rsidRPr="00565C26">
              <w:rPr>
                <w:rFonts w:ascii="Arial" w:eastAsia="Times New Roman" w:hAnsi="Arial" w:cs="Arial"/>
                <w:b/>
                <w:bCs/>
                <w:lang w:eastAsia="en-GB"/>
              </w:rPr>
              <w:t>Included in income</w:t>
            </w:r>
          </w:p>
        </w:tc>
        <w:tc>
          <w:tcPr>
            <w:tcW w:w="1220" w:type="dxa"/>
            <w:tcBorders>
              <w:top w:val="nil"/>
              <w:left w:val="nil"/>
              <w:bottom w:val="nil"/>
              <w:right w:val="nil"/>
            </w:tcBorders>
            <w:shd w:val="clear" w:color="auto" w:fill="auto"/>
            <w:vAlign w:val="center"/>
            <w:hideMark/>
          </w:tcPr>
          <w:p w14:paraId="12946C9B" w14:textId="77777777" w:rsidR="00565C26" w:rsidRPr="00565C26" w:rsidRDefault="00565C26" w:rsidP="00565C26">
            <w:pPr>
              <w:spacing w:after="0" w:line="240" w:lineRule="auto"/>
              <w:rPr>
                <w:rFonts w:ascii="Arial" w:eastAsia="Times New Roman" w:hAnsi="Arial" w:cs="Arial"/>
                <w:b/>
                <w:bCs/>
                <w:lang w:eastAsia="en-GB"/>
              </w:rPr>
            </w:pPr>
          </w:p>
        </w:tc>
        <w:tc>
          <w:tcPr>
            <w:tcW w:w="1240" w:type="dxa"/>
            <w:tcBorders>
              <w:top w:val="nil"/>
              <w:left w:val="nil"/>
              <w:bottom w:val="nil"/>
              <w:right w:val="nil"/>
            </w:tcBorders>
            <w:shd w:val="clear" w:color="auto" w:fill="auto"/>
            <w:vAlign w:val="center"/>
            <w:hideMark/>
          </w:tcPr>
          <w:p w14:paraId="63173925" w14:textId="77777777" w:rsidR="00565C26" w:rsidRPr="00565C26" w:rsidRDefault="00565C26" w:rsidP="00565C26">
            <w:pPr>
              <w:spacing w:after="0" w:line="240" w:lineRule="auto"/>
              <w:jc w:val="right"/>
              <w:rPr>
                <w:rFonts w:ascii="Times New Roman" w:eastAsia="Times New Roman" w:hAnsi="Times New Roman" w:cs="Times New Roman"/>
                <w:sz w:val="20"/>
                <w:szCs w:val="20"/>
                <w:lang w:eastAsia="en-GB"/>
              </w:rPr>
            </w:pPr>
          </w:p>
        </w:tc>
        <w:tc>
          <w:tcPr>
            <w:tcW w:w="1520" w:type="dxa"/>
            <w:tcBorders>
              <w:top w:val="nil"/>
              <w:left w:val="nil"/>
              <w:bottom w:val="nil"/>
              <w:right w:val="nil"/>
            </w:tcBorders>
            <w:shd w:val="clear" w:color="auto" w:fill="auto"/>
            <w:vAlign w:val="center"/>
            <w:hideMark/>
          </w:tcPr>
          <w:p w14:paraId="0CF81B2F" w14:textId="77777777" w:rsidR="00565C26" w:rsidRPr="00565C26" w:rsidRDefault="00565C26" w:rsidP="00565C26">
            <w:pPr>
              <w:spacing w:after="0" w:line="240" w:lineRule="auto"/>
              <w:jc w:val="right"/>
              <w:rPr>
                <w:rFonts w:ascii="Times New Roman" w:eastAsia="Times New Roman" w:hAnsi="Times New Roman" w:cs="Times New Roman"/>
                <w:sz w:val="20"/>
                <w:szCs w:val="20"/>
                <w:lang w:eastAsia="en-GB"/>
              </w:rPr>
            </w:pPr>
          </w:p>
        </w:tc>
        <w:tc>
          <w:tcPr>
            <w:tcW w:w="1340" w:type="dxa"/>
            <w:tcBorders>
              <w:top w:val="nil"/>
              <w:left w:val="nil"/>
              <w:bottom w:val="nil"/>
              <w:right w:val="nil"/>
            </w:tcBorders>
            <w:shd w:val="clear" w:color="auto" w:fill="auto"/>
            <w:vAlign w:val="center"/>
            <w:hideMark/>
          </w:tcPr>
          <w:p w14:paraId="25378C47" w14:textId="77777777" w:rsidR="00565C26" w:rsidRPr="00565C26" w:rsidRDefault="00565C26" w:rsidP="00565C26">
            <w:pPr>
              <w:spacing w:after="0" w:line="240" w:lineRule="auto"/>
              <w:jc w:val="right"/>
              <w:rPr>
                <w:rFonts w:ascii="Times New Roman" w:eastAsia="Times New Roman" w:hAnsi="Times New Roman" w:cs="Times New Roman"/>
                <w:sz w:val="20"/>
                <w:szCs w:val="20"/>
                <w:lang w:eastAsia="en-GB"/>
              </w:rPr>
            </w:pPr>
          </w:p>
        </w:tc>
        <w:tc>
          <w:tcPr>
            <w:tcW w:w="1480" w:type="dxa"/>
            <w:tcBorders>
              <w:top w:val="nil"/>
              <w:left w:val="nil"/>
              <w:bottom w:val="nil"/>
              <w:right w:val="nil"/>
            </w:tcBorders>
            <w:shd w:val="clear" w:color="auto" w:fill="auto"/>
            <w:vAlign w:val="center"/>
            <w:hideMark/>
          </w:tcPr>
          <w:p w14:paraId="5F0D4E17" w14:textId="77777777" w:rsidR="00565C26" w:rsidRPr="00565C26" w:rsidRDefault="00565C26" w:rsidP="00565C26">
            <w:pPr>
              <w:spacing w:after="0" w:line="240" w:lineRule="auto"/>
              <w:jc w:val="right"/>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vAlign w:val="center"/>
            <w:hideMark/>
          </w:tcPr>
          <w:p w14:paraId="1C79C171" w14:textId="77777777" w:rsidR="00565C26" w:rsidRPr="00565C26" w:rsidRDefault="00565C26" w:rsidP="00565C26">
            <w:pPr>
              <w:spacing w:after="0" w:line="240" w:lineRule="auto"/>
              <w:jc w:val="right"/>
              <w:rPr>
                <w:rFonts w:ascii="Times New Roman" w:eastAsia="Times New Roman" w:hAnsi="Times New Roman" w:cs="Times New Roman"/>
                <w:sz w:val="20"/>
                <w:szCs w:val="20"/>
                <w:lang w:eastAsia="en-GB"/>
              </w:rPr>
            </w:pPr>
          </w:p>
        </w:tc>
        <w:tc>
          <w:tcPr>
            <w:tcW w:w="1160" w:type="dxa"/>
            <w:tcBorders>
              <w:top w:val="nil"/>
              <w:left w:val="nil"/>
              <w:bottom w:val="nil"/>
              <w:right w:val="nil"/>
            </w:tcBorders>
            <w:shd w:val="clear" w:color="auto" w:fill="auto"/>
            <w:vAlign w:val="center"/>
            <w:hideMark/>
          </w:tcPr>
          <w:p w14:paraId="05FED3E9" w14:textId="77777777" w:rsidR="00565C26" w:rsidRPr="00565C26" w:rsidRDefault="00565C26" w:rsidP="00565C26">
            <w:pPr>
              <w:spacing w:after="0" w:line="240" w:lineRule="auto"/>
              <w:jc w:val="right"/>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vAlign w:val="center"/>
            <w:hideMark/>
          </w:tcPr>
          <w:p w14:paraId="1C144C8A" w14:textId="77777777" w:rsidR="00565C26" w:rsidRPr="00565C26" w:rsidRDefault="00565C26" w:rsidP="00565C26">
            <w:pPr>
              <w:spacing w:after="0" w:line="240" w:lineRule="auto"/>
              <w:jc w:val="right"/>
              <w:rPr>
                <w:rFonts w:ascii="Times New Roman" w:eastAsia="Times New Roman" w:hAnsi="Times New Roman" w:cs="Times New Roman"/>
                <w:sz w:val="20"/>
                <w:szCs w:val="20"/>
                <w:lang w:eastAsia="en-GB"/>
              </w:rPr>
            </w:pPr>
          </w:p>
        </w:tc>
        <w:tc>
          <w:tcPr>
            <w:tcW w:w="1140" w:type="dxa"/>
            <w:tcBorders>
              <w:top w:val="nil"/>
              <w:left w:val="nil"/>
              <w:bottom w:val="nil"/>
              <w:right w:val="single" w:sz="4" w:space="0" w:color="auto"/>
            </w:tcBorders>
            <w:shd w:val="clear" w:color="auto" w:fill="auto"/>
            <w:vAlign w:val="center"/>
            <w:hideMark/>
          </w:tcPr>
          <w:p w14:paraId="51C91B21"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lang w:eastAsia="en-GB"/>
              </w:rPr>
              <w:t> </w:t>
            </w:r>
          </w:p>
        </w:tc>
      </w:tr>
      <w:tr w:rsidR="00565C26" w:rsidRPr="00565C26" w14:paraId="1F618A38" w14:textId="77777777" w:rsidTr="00565C26">
        <w:trPr>
          <w:trHeight w:val="450"/>
        </w:trPr>
        <w:tc>
          <w:tcPr>
            <w:tcW w:w="3940" w:type="dxa"/>
            <w:tcBorders>
              <w:top w:val="nil"/>
              <w:left w:val="single" w:sz="4" w:space="0" w:color="auto"/>
              <w:bottom w:val="nil"/>
              <w:right w:val="nil"/>
            </w:tcBorders>
            <w:shd w:val="clear" w:color="auto" w:fill="auto"/>
            <w:vAlign w:val="center"/>
            <w:hideMark/>
          </w:tcPr>
          <w:p w14:paraId="6BA2D147" w14:textId="77777777" w:rsidR="00565C26" w:rsidRPr="00565C26" w:rsidRDefault="00565C26" w:rsidP="00565C26">
            <w:pPr>
              <w:spacing w:after="0" w:line="240" w:lineRule="auto"/>
              <w:rPr>
                <w:rFonts w:ascii="Arial" w:eastAsia="Times New Roman" w:hAnsi="Arial" w:cs="Arial"/>
                <w:lang w:eastAsia="en-GB"/>
              </w:rPr>
            </w:pPr>
            <w:r w:rsidRPr="00565C26">
              <w:rPr>
                <w:rFonts w:ascii="Arial" w:eastAsia="Times New Roman" w:hAnsi="Arial" w:cs="Arial"/>
                <w:lang w:eastAsia="en-GB"/>
              </w:rPr>
              <w:t>New endowments received</w:t>
            </w:r>
          </w:p>
        </w:tc>
        <w:tc>
          <w:tcPr>
            <w:tcW w:w="1220" w:type="dxa"/>
            <w:tcBorders>
              <w:top w:val="nil"/>
              <w:left w:val="nil"/>
              <w:bottom w:val="nil"/>
              <w:right w:val="nil"/>
            </w:tcBorders>
            <w:shd w:val="clear" w:color="auto" w:fill="auto"/>
            <w:vAlign w:val="center"/>
            <w:hideMark/>
          </w:tcPr>
          <w:p w14:paraId="60437F89"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lang w:eastAsia="en-GB"/>
              </w:rPr>
              <w:t>3</w:t>
            </w:r>
          </w:p>
        </w:tc>
        <w:tc>
          <w:tcPr>
            <w:tcW w:w="1240" w:type="dxa"/>
            <w:tcBorders>
              <w:top w:val="nil"/>
              <w:left w:val="nil"/>
              <w:bottom w:val="nil"/>
              <w:right w:val="nil"/>
            </w:tcBorders>
            <w:shd w:val="clear" w:color="auto" w:fill="auto"/>
            <w:vAlign w:val="center"/>
            <w:hideMark/>
          </w:tcPr>
          <w:p w14:paraId="18809698"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lang w:eastAsia="en-GB"/>
              </w:rPr>
              <w:t>63</w:t>
            </w:r>
          </w:p>
        </w:tc>
        <w:tc>
          <w:tcPr>
            <w:tcW w:w="1520" w:type="dxa"/>
            <w:tcBorders>
              <w:top w:val="nil"/>
              <w:left w:val="nil"/>
              <w:bottom w:val="nil"/>
              <w:right w:val="nil"/>
            </w:tcBorders>
            <w:shd w:val="clear" w:color="auto" w:fill="auto"/>
            <w:vAlign w:val="center"/>
            <w:hideMark/>
          </w:tcPr>
          <w:p w14:paraId="181E074F"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lang w:eastAsia="en-GB"/>
              </w:rPr>
              <w:t>4</w:t>
            </w:r>
          </w:p>
        </w:tc>
        <w:tc>
          <w:tcPr>
            <w:tcW w:w="1340" w:type="dxa"/>
            <w:tcBorders>
              <w:top w:val="nil"/>
              <w:left w:val="nil"/>
              <w:bottom w:val="nil"/>
              <w:right w:val="nil"/>
            </w:tcBorders>
            <w:shd w:val="clear" w:color="auto" w:fill="auto"/>
            <w:vAlign w:val="center"/>
            <w:hideMark/>
          </w:tcPr>
          <w:p w14:paraId="530B1D1E"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lang w:eastAsia="en-GB"/>
              </w:rPr>
              <w:t>0</w:t>
            </w:r>
          </w:p>
        </w:tc>
        <w:tc>
          <w:tcPr>
            <w:tcW w:w="1480" w:type="dxa"/>
            <w:tcBorders>
              <w:top w:val="nil"/>
              <w:left w:val="nil"/>
              <w:bottom w:val="nil"/>
              <w:right w:val="nil"/>
            </w:tcBorders>
            <w:shd w:val="clear" w:color="auto" w:fill="auto"/>
            <w:vAlign w:val="center"/>
            <w:hideMark/>
          </w:tcPr>
          <w:p w14:paraId="6C68E34F"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lang w:eastAsia="en-GB"/>
              </w:rPr>
              <w:t>0</w:t>
            </w:r>
          </w:p>
        </w:tc>
        <w:tc>
          <w:tcPr>
            <w:tcW w:w="960" w:type="dxa"/>
            <w:tcBorders>
              <w:top w:val="nil"/>
              <w:left w:val="nil"/>
              <w:bottom w:val="nil"/>
              <w:right w:val="nil"/>
            </w:tcBorders>
            <w:shd w:val="clear" w:color="auto" w:fill="auto"/>
            <w:vAlign w:val="center"/>
            <w:hideMark/>
          </w:tcPr>
          <w:p w14:paraId="0EE53E9F"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lang w:eastAsia="en-GB"/>
              </w:rPr>
              <w:t>0</w:t>
            </w:r>
          </w:p>
        </w:tc>
        <w:tc>
          <w:tcPr>
            <w:tcW w:w="1160" w:type="dxa"/>
            <w:tcBorders>
              <w:top w:val="nil"/>
              <w:left w:val="nil"/>
              <w:bottom w:val="nil"/>
              <w:right w:val="nil"/>
            </w:tcBorders>
            <w:shd w:val="clear" w:color="auto" w:fill="auto"/>
            <w:vAlign w:val="center"/>
            <w:hideMark/>
          </w:tcPr>
          <w:p w14:paraId="0BA0030D"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lang w:eastAsia="en-GB"/>
              </w:rPr>
              <w:t>2</w:t>
            </w:r>
          </w:p>
        </w:tc>
        <w:tc>
          <w:tcPr>
            <w:tcW w:w="960" w:type="dxa"/>
            <w:tcBorders>
              <w:top w:val="nil"/>
              <w:left w:val="nil"/>
              <w:bottom w:val="nil"/>
              <w:right w:val="nil"/>
            </w:tcBorders>
            <w:shd w:val="clear" w:color="auto" w:fill="auto"/>
            <w:vAlign w:val="center"/>
            <w:hideMark/>
          </w:tcPr>
          <w:p w14:paraId="14A1C06C"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lang w:eastAsia="en-GB"/>
              </w:rPr>
              <w:t>5</w:t>
            </w:r>
          </w:p>
        </w:tc>
        <w:tc>
          <w:tcPr>
            <w:tcW w:w="1140" w:type="dxa"/>
            <w:tcBorders>
              <w:top w:val="nil"/>
              <w:left w:val="nil"/>
              <w:bottom w:val="nil"/>
              <w:right w:val="single" w:sz="4" w:space="0" w:color="auto"/>
            </w:tcBorders>
            <w:shd w:val="clear" w:color="auto" w:fill="auto"/>
            <w:vAlign w:val="center"/>
            <w:hideMark/>
          </w:tcPr>
          <w:p w14:paraId="1C5FB9A4"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lang w:eastAsia="en-GB"/>
              </w:rPr>
              <w:t>78</w:t>
            </w:r>
          </w:p>
        </w:tc>
      </w:tr>
      <w:tr w:rsidR="00565C26" w:rsidRPr="00565C26" w14:paraId="3C85D072" w14:textId="77777777" w:rsidTr="00565C26">
        <w:trPr>
          <w:trHeight w:val="450"/>
        </w:trPr>
        <w:tc>
          <w:tcPr>
            <w:tcW w:w="3940" w:type="dxa"/>
            <w:tcBorders>
              <w:top w:val="nil"/>
              <w:left w:val="single" w:sz="4" w:space="0" w:color="auto"/>
              <w:bottom w:val="nil"/>
              <w:right w:val="nil"/>
            </w:tcBorders>
            <w:shd w:val="clear" w:color="auto" w:fill="auto"/>
            <w:vAlign w:val="center"/>
            <w:hideMark/>
          </w:tcPr>
          <w:p w14:paraId="7C003E50" w14:textId="77777777" w:rsidR="00565C26" w:rsidRPr="00565C26" w:rsidRDefault="00565C26" w:rsidP="00565C26">
            <w:pPr>
              <w:spacing w:after="0" w:line="240" w:lineRule="auto"/>
              <w:rPr>
                <w:rFonts w:ascii="Arial" w:eastAsia="Times New Roman" w:hAnsi="Arial" w:cs="Arial"/>
                <w:lang w:eastAsia="en-GB"/>
              </w:rPr>
            </w:pPr>
            <w:r w:rsidRPr="00565C26">
              <w:rPr>
                <w:rFonts w:ascii="Arial" w:eastAsia="Times New Roman" w:hAnsi="Arial" w:cs="Arial"/>
                <w:lang w:eastAsia="en-GB"/>
              </w:rPr>
              <w:t>New donations</w:t>
            </w:r>
          </w:p>
        </w:tc>
        <w:tc>
          <w:tcPr>
            <w:tcW w:w="1220" w:type="dxa"/>
            <w:tcBorders>
              <w:top w:val="nil"/>
              <w:left w:val="nil"/>
              <w:bottom w:val="nil"/>
              <w:right w:val="nil"/>
            </w:tcBorders>
            <w:shd w:val="clear" w:color="auto" w:fill="auto"/>
            <w:vAlign w:val="center"/>
            <w:hideMark/>
          </w:tcPr>
          <w:p w14:paraId="30637734"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lang w:eastAsia="en-GB"/>
              </w:rPr>
              <w:t>0</w:t>
            </w:r>
          </w:p>
        </w:tc>
        <w:tc>
          <w:tcPr>
            <w:tcW w:w="1240" w:type="dxa"/>
            <w:tcBorders>
              <w:top w:val="nil"/>
              <w:left w:val="nil"/>
              <w:bottom w:val="nil"/>
              <w:right w:val="nil"/>
            </w:tcBorders>
            <w:shd w:val="clear" w:color="auto" w:fill="auto"/>
            <w:vAlign w:val="center"/>
            <w:hideMark/>
          </w:tcPr>
          <w:p w14:paraId="72E0CE58"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lang w:eastAsia="en-GB"/>
              </w:rPr>
              <w:t>45</w:t>
            </w:r>
          </w:p>
        </w:tc>
        <w:tc>
          <w:tcPr>
            <w:tcW w:w="1520" w:type="dxa"/>
            <w:tcBorders>
              <w:top w:val="nil"/>
              <w:left w:val="nil"/>
              <w:bottom w:val="nil"/>
              <w:right w:val="nil"/>
            </w:tcBorders>
            <w:shd w:val="clear" w:color="auto" w:fill="auto"/>
            <w:vAlign w:val="center"/>
            <w:hideMark/>
          </w:tcPr>
          <w:p w14:paraId="3558F89C"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lang w:eastAsia="en-GB"/>
              </w:rPr>
              <w:t>55</w:t>
            </w:r>
          </w:p>
        </w:tc>
        <w:tc>
          <w:tcPr>
            <w:tcW w:w="1340" w:type="dxa"/>
            <w:tcBorders>
              <w:top w:val="nil"/>
              <w:left w:val="nil"/>
              <w:bottom w:val="nil"/>
              <w:right w:val="nil"/>
            </w:tcBorders>
            <w:shd w:val="clear" w:color="auto" w:fill="auto"/>
            <w:vAlign w:val="center"/>
            <w:hideMark/>
          </w:tcPr>
          <w:p w14:paraId="31464F37"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lang w:eastAsia="en-GB"/>
              </w:rPr>
              <w:t>2</w:t>
            </w:r>
          </w:p>
        </w:tc>
        <w:tc>
          <w:tcPr>
            <w:tcW w:w="1480" w:type="dxa"/>
            <w:tcBorders>
              <w:top w:val="nil"/>
              <w:left w:val="nil"/>
              <w:bottom w:val="nil"/>
              <w:right w:val="nil"/>
            </w:tcBorders>
            <w:shd w:val="clear" w:color="auto" w:fill="auto"/>
            <w:vAlign w:val="center"/>
            <w:hideMark/>
          </w:tcPr>
          <w:p w14:paraId="7159C2F3"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lang w:eastAsia="en-GB"/>
              </w:rPr>
              <w:t>1</w:t>
            </w:r>
          </w:p>
        </w:tc>
        <w:tc>
          <w:tcPr>
            <w:tcW w:w="960" w:type="dxa"/>
            <w:tcBorders>
              <w:top w:val="nil"/>
              <w:left w:val="nil"/>
              <w:bottom w:val="nil"/>
              <w:right w:val="nil"/>
            </w:tcBorders>
            <w:shd w:val="clear" w:color="auto" w:fill="auto"/>
            <w:vAlign w:val="center"/>
            <w:hideMark/>
          </w:tcPr>
          <w:p w14:paraId="1B98D98B"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lang w:eastAsia="en-GB"/>
              </w:rPr>
              <w:t>0</w:t>
            </w:r>
          </w:p>
        </w:tc>
        <w:tc>
          <w:tcPr>
            <w:tcW w:w="1160" w:type="dxa"/>
            <w:tcBorders>
              <w:top w:val="nil"/>
              <w:left w:val="nil"/>
              <w:bottom w:val="nil"/>
              <w:right w:val="nil"/>
            </w:tcBorders>
            <w:shd w:val="clear" w:color="auto" w:fill="auto"/>
            <w:vAlign w:val="center"/>
            <w:hideMark/>
          </w:tcPr>
          <w:p w14:paraId="51DE6750"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lang w:eastAsia="en-GB"/>
              </w:rPr>
              <w:t>4</w:t>
            </w:r>
          </w:p>
        </w:tc>
        <w:tc>
          <w:tcPr>
            <w:tcW w:w="960" w:type="dxa"/>
            <w:tcBorders>
              <w:top w:val="nil"/>
              <w:left w:val="nil"/>
              <w:bottom w:val="nil"/>
              <w:right w:val="nil"/>
            </w:tcBorders>
            <w:shd w:val="clear" w:color="auto" w:fill="auto"/>
            <w:vAlign w:val="center"/>
            <w:hideMark/>
          </w:tcPr>
          <w:p w14:paraId="5C2E3C48"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lang w:eastAsia="en-GB"/>
              </w:rPr>
              <w:t>61</w:t>
            </w:r>
          </w:p>
        </w:tc>
        <w:tc>
          <w:tcPr>
            <w:tcW w:w="1140" w:type="dxa"/>
            <w:tcBorders>
              <w:top w:val="nil"/>
              <w:left w:val="nil"/>
              <w:bottom w:val="nil"/>
              <w:right w:val="single" w:sz="4" w:space="0" w:color="auto"/>
            </w:tcBorders>
            <w:shd w:val="clear" w:color="auto" w:fill="auto"/>
            <w:vAlign w:val="center"/>
            <w:hideMark/>
          </w:tcPr>
          <w:p w14:paraId="74CB7649"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lang w:eastAsia="en-GB"/>
              </w:rPr>
              <w:t>167</w:t>
            </w:r>
          </w:p>
        </w:tc>
      </w:tr>
      <w:tr w:rsidR="00565C26" w:rsidRPr="00565C26" w14:paraId="19E87680" w14:textId="77777777" w:rsidTr="00565C26">
        <w:trPr>
          <w:trHeight w:val="450"/>
        </w:trPr>
        <w:tc>
          <w:tcPr>
            <w:tcW w:w="3940" w:type="dxa"/>
            <w:tcBorders>
              <w:top w:val="nil"/>
              <w:left w:val="single" w:sz="4" w:space="0" w:color="auto"/>
              <w:bottom w:val="nil"/>
              <w:right w:val="nil"/>
            </w:tcBorders>
            <w:shd w:val="clear" w:color="auto" w:fill="auto"/>
            <w:vAlign w:val="center"/>
            <w:hideMark/>
          </w:tcPr>
          <w:p w14:paraId="749A7E0D" w14:textId="77777777" w:rsidR="00565C26" w:rsidRPr="00565C26" w:rsidRDefault="00565C26" w:rsidP="00565C26">
            <w:pPr>
              <w:spacing w:after="0" w:line="240" w:lineRule="auto"/>
              <w:rPr>
                <w:rFonts w:ascii="Arial" w:eastAsia="Times New Roman" w:hAnsi="Arial" w:cs="Arial"/>
                <w:lang w:eastAsia="en-GB"/>
              </w:rPr>
            </w:pPr>
            <w:r w:rsidRPr="00565C26">
              <w:rPr>
                <w:rFonts w:ascii="Arial" w:eastAsia="Times New Roman" w:hAnsi="Arial" w:cs="Arial"/>
                <w:lang w:eastAsia="en-GB"/>
              </w:rPr>
              <w:t>New government capital grants</w:t>
            </w:r>
          </w:p>
        </w:tc>
        <w:tc>
          <w:tcPr>
            <w:tcW w:w="1220" w:type="dxa"/>
            <w:tcBorders>
              <w:top w:val="nil"/>
              <w:left w:val="nil"/>
              <w:bottom w:val="nil"/>
              <w:right w:val="nil"/>
            </w:tcBorders>
            <w:shd w:val="clear" w:color="auto" w:fill="auto"/>
            <w:vAlign w:val="center"/>
            <w:hideMark/>
          </w:tcPr>
          <w:p w14:paraId="65E2B45A"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lang w:eastAsia="en-GB"/>
              </w:rPr>
              <w:t>5</w:t>
            </w:r>
          </w:p>
        </w:tc>
        <w:tc>
          <w:tcPr>
            <w:tcW w:w="1240" w:type="dxa"/>
            <w:tcBorders>
              <w:top w:val="nil"/>
              <w:left w:val="nil"/>
              <w:bottom w:val="nil"/>
              <w:right w:val="nil"/>
            </w:tcBorders>
            <w:shd w:val="clear" w:color="auto" w:fill="auto"/>
            <w:vAlign w:val="center"/>
            <w:hideMark/>
          </w:tcPr>
          <w:p w14:paraId="452DD5CF"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lang w:eastAsia="en-GB"/>
              </w:rPr>
              <w:t>109</w:t>
            </w:r>
          </w:p>
        </w:tc>
        <w:tc>
          <w:tcPr>
            <w:tcW w:w="1520" w:type="dxa"/>
            <w:tcBorders>
              <w:top w:val="nil"/>
              <w:left w:val="nil"/>
              <w:bottom w:val="nil"/>
              <w:right w:val="nil"/>
            </w:tcBorders>
            <w:shd w:val="clear" w:color="auto" w:fill="auto"/>
            <w:vAlign w:val="center"/>
            <w:hideMark/>
          </w:tcPr>
          <w:p w14:paraId="0A703C5F"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lang w:eastAsia="en-GB"/>
              </w:rPr>
              <w:t>70</w:t>
            </w:r>
          </w:p>
        </w:tc>
        <w:tc>
          <w:tcPr>
            <w:tcW w:w="1340" w:type="dxa"/>
            <w:tcBorders>
              <w:top w:val="nil"/>
              <w:left w:val="nil"/>
              <w:bottom w:val="nil"/>
              <w:right w:val="nil"/>
            </w:tcBorders>
            <w:shd w:val="clear" w:color="auto" w:fill="auto"/>
            <w:vAlign w:val="center"/>
            <w:hideMark/>
          </w:tcPr>
          <w:p w14:paraId="0EC8B7A5"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lang w:eastAsia="en-GB"/>
              </w:rPr>
              <w:t>69</w:t>
            </w:r>
          </w:p>
        </w:tc>
        <w:tc>
          <w:tcPr>
            <w:tcW w:w="1480" w:type="dxa"/>
            <w:tcBorders>
              <w:top w:val="nil"/>
              <w:left w:val="nil"/>
              <w:bottom w:val="nil"/>
              <w:right w:val="nil"/>
            </w:tcBorders>
            <w:shd w:val="clear" w:color="auto" w:fill="auto"/>
            <w:vAlign w:val="center"/>
            <w:hideMark/>
          </w:tcPr>
          <w:p w14:paraId="4539F215"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lang w:eastAsia="en-GB"/>
              </w:rPr>
              <w:t>26</w:t>
            </w:r>
          </w:p>
        </w:tc>
        <w:tc>
          <w:tcPr>
            <w:tcW w:w="960" w:type="dxa"/>
            <w:tcBorders>
              <w:top w:val="nil"/>
              <w:left w:val="nil"/>
              <w:bottom w:val="nil"/>
              <w:right w:val="nil"/>
            </w:tcBorders>
            <w:shd w:val="clear" w:color="auto" w:fill="auto"/>
            <w:vAlign w:val="center"/>
            <w:hideMark/>
          </w:tcPr>
          <w:p w14:paraId="5B08F1DC"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lang w:eastAsia="en-GB"/>
              </w:rPr>
              <w:t>53</w:t>
            </w:r>
          </w:p>
        </w:tc>
        <w:tc>
          <w:tcPr>
            <w:tcW w:w="1160" w:type="dxa"/>
            <w:tcBorders>
              <w:top w:val="nil"/>
              <w:left w:val="nil"/>
              <w:bottom w:val="nil"/>
              <w:right w:val="nil"/>
            </w:tcBorders>
            <w:shd w:val="clear" w:color="auto" w:fill="auto"/>
            <w:vAlign w:val="center"/>
            <w:hideMark/>
          </w:tcPr>
          <w:p w14:paraId="013363C9"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lang w:eastAsia="en-GB"/>
              </w:rPr>
              <w:t>20</w:t>
            </w:r>
          </w:p>
        </w:tc>
        <w:tc>
          <w:tcPr>
            <w:tcW w:w="960" w:type="dxa"/>
            <w:tcBorders>
              <w:top w:val="nil"/>
              <w:left w:val="nil"/>
              <w:bottom w:val="nil"/>
              <w:right w:val="nil"/>
            </w:tcBorders>
            <w:shd w:val="clear" w:color="auto" w:fill="auto"/>
            <w:vAlign w:val="center"/>
            <w:hideMark/>
          </w:tcPr>
          <w:p w14:paraId="2B87C7D9"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lang w:eastAsia="en-GB"/>
              </w:rPr>
              <w:t>12</w:t>
            </w:r>
          </w:p>
        </w:tc>
        <w:tc>
          <w:tcPr>
            <w:tcW w:w="1140" w:type="dxa"/>
            <w:tcBorders>
              <w:top w:val="nil"/>
              <w:left w:val="nil"/>
              <w:bottom w:val="nil"/>
              <w:right w:val="single" w:sz="4" w:space="0" w:color="auto"/>
            </w:tcBorders>
            <w:shd w:val="clear" w:color="auto" w:fill="auto"/>
            <w:vAlign w:val="center"/>
            <w:hideMark/>
          </w:tcPr>
          <w:p w14:paraId="130AA1A8"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lang w:eastAsia="en-GB"/>
              </w:rPr>
              <w:t>364</w:t>
            </w:r>
          </w:p>
        </w:tc>
      </w:tr>
      <w:tr w:rsidR="00565C26" w:rsidRPr="00565C26" w14:paraId="05821823" w14:textId="77777777" w:rsidTr="00565C26">
        <w:trPr>
          <w:trHeight w:val="450"/>
        </w:trPr>
        <w:tc>
          <w:tcPr>
            <w:tcW w:w="3940" w:type="dxa"/>
            <w:tcBorders>
              <w:top w:val="nil"/>
              <w:left w:val="single" w:sz="4" w:space="0" w:color="auto"/>
              <w:bottom w:val="nil"/>
              <w:right w:val="nil"/>
            </w:tcBorders>
            <w:shd w:val="clear" w:color="auto" w:fill="auto"/>
            <w:vAlign w:val="center"/>
            <w:hideMark/>
          </w:tcPr>
          <w:p w14:paraId="0616BAC6" w14:textId="77777777" w:rsidR="00565C26" w:rsidRPr="00565C26" w:rsidRDefault="00565C26" w:rsidP="00565C26">
            <w:pPr>
              <w:spacing w:after="0" w:line="240" w:lineRule="auto"/>
              <w:rPr>
                <w:rFonts w:ascii="Arial" w:eastAsia="Times New Roman" w:hAnsi="Arial" w:cs="Arial"/>
                <w:lang w:eastAsia="en-GB"/>
              </w:rPr>
            </w:pPr>
            <w:r w:rsidRPr="00565C26">
              <w:rPr>
                <w:rFonts w:ascii="Arial" w:eastAsia="Times New Roman" w:hAnsi="Arial" w:cs="Arial"/>
                <w:lang w:eastAsia="en-GB"/>
              </w:rPr>
              <w:t>New non-government capital grants</w:t>
            </w:r>
          </w:p>
        </w:tc>
        <w:tc>
          <w:tcPr>
            <w:tcW w:w="1220" w:type="dxa"/>
            <w:tcBorders>
              <w:top w:val="nil"/>
              <w:left w:val="nil"/>
              <w:bottom w:val="nil"/>
              <w:right w:val="nil"/>
            </w:tcBorders>
            <w:shd w:val="clear" w:color="auto" w:fill="auto"/>
            <w:vAlign w:val="center"/>
            <w:hideMark/>
          </w:tcPr>
          <w:p w14:paraId="3107E47B"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lang w:eastAsia="en-GB"/>
              </w:rPr>
              <w:t>0</w:t>
            </w:r>
          </w:p>
        </w:tc>
        <w:tc>
          <w:tcPr>
            <w:tcW w:w="1240" w:type="dxa"/>
            <w:tcBorders>
              <w:top w:val="nil"/>
              <w:left w:val="nil"/>
              <w:bottom w:val="nil"/>
              <w:right w:val="nil"/>
            </w:tcBorders>
            <w:shd w:val="clear" w:color="auto" w:fill="auto"/>
            <w:vAlign w:val="center"/>
            <w:hideMark/>
          </w:tcPr>
          <w:p w14:paraId="16D51AC4"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lang w:eastAsia="en-GB"/>
              </w:rPr>
              <w:t>3</w:t>
            </w:r>
          </w:p>
        </w:tc>
        <w:tc>
          <w:tcPr>
            <w:tcW w:w="1520" w:type="dxa"/>
            <w:tcBorders>
              <w:top w:val="nil"/>
              <w:left w:val="nil"/>
              <w:bottom w:val="nil"/>
              <w:right w:val="nil"/>
            </w:tcBorders>
            <w:shd w:val="clear" w:color="auto" w:fill="auto"/>
            <w:vAlign w:val="center"/>
            <w:hideMark/>
          </w:tcPr>
          <w:p w14:paraId="08708565"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lang w:eastAsia="en-GB"/>
              </w:rPr>
              <w:t>4</w:t>
            </w:r>
          </w:p>
        </w:tc>
        <w:tc>
          <w:tcPr>
            <w:tcW w:w="1340" w:type="dxa"/>
            <w:tcBorders>
              <w:top w:val="nil"/>
              <w:left w:val="nil"/>
              <w:bottom w:val="nil"/>
              <w:right w:val="nil"/>
            </w:tcBorders>
            <w:shd w:val="clear" w:color="auto" w:fill="auto"/>
            <w:vAlign w:val="center"/>
            <w:hideMark/>
          </w:tcPr>
          <w:p w14:paraId="5FBA27A7"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lang w:eastAsia="en-GB"/>
              </w:rPr>
              <w:t>22</w:t>
            </w:r>
          </w:p>
        </w:tc>
        <w:tc>
          <w:tcPr>
            <w:tcW w:w="1480" w:type="dxa"/>
            <w:tcBorders>
              <w:top w:val="nil"/>
              <w:left w:val="nil"/>
              <w:bottom w:val="nil"/>
              <w:right w:val="nil"/>
            </w:tcBorders>
            <w:shd w:val="clear" w:color="auto" w:fill="auto"/>
            <w:vAlign w:val="center"/>
            <w:hideMark/>
          </w:tcPr>
          <w:p w14:paraId="03901D75"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lang w:eastAsia="en-GB"/>
              </w:rPr>
              <w:t>3</w:t>
            </w:r>
          </w:p>
        </w:tc>
        <w:tc>
          <w:tcPr>
            <w:tcW w:w="960" w:type="dxa"/>
            <w:tcBorders>
              <w:top w:val="nil"/>
              <w:left w:val="nil"/>
              <w:bottom w:val="nil"/>
              <w:right w:val="nil"/>
            </w:tcBorders>
            <w:shd w:val="clear" w:color="auto" w:fill="auto"/>
            <w:vAlign w:val="center"/>
            <w:hideMark/>
          </w:tcPr>
          <w:p w14:paraId="4AC6BCF6"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lang w:eastAsia="en-GB"/>
              </w:rPr>
              <w:t>5</w:t>
            </w:r>
          </w:p>
        </w:tc>
        <w:tc>
          <w:tcPr>
            <w:tcW w:w="1160" w:type="dxa"/>
            <w:tcBorders>
              <w:top w:val="nil"/>
              <w:left w:val="nil"/>
              <w:bottom w:val="nil"/>
              <w:right w:val="nil"/>
            </w:tcBorders>
            <w:shd w:val="clear" w:color="auto" w:fill="auto"/>
            <w:vAlign w:val="center"/>
            <w:hideMark/>
          </w:tcPr>
          <w:p w14:paraId="454C10B1"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lang w:eastAsia="en-GB"/>
              </w:rPr>
              <w:t>18</w:t>
            </w:r>
          </w:p>
        </w:tc>
        <w:tc>
          <w:tcPr>
            <w:tcW w:w="960" w:type="dxa"/>
            <w:tcBorders>
              <w:top w:val="nil"/>
              <w:left w:val="nil"/>
              <w:bottom w:val="nil"/>
              <w:right w:val="nil"/>
            </w:tcBorders>
            <w:shd w:val="clear" w:color="auto" w:fill="auto"/>
            <w:vAlign w:val="center"/>
            <w:hideMark/>
          </w:tcPr>
          <w:p w14:paraId="122942A6"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lang w:eastAsia="en-GB"/>
              </w:rPr>
              <w:t>7</w:t>
            </w:r>
          </w:p>
        </w:tc>
        <w:tc>
          <w:tcPr>
            <w:tcW w:w="1140" w:type="dxa"/>
            <w:tcBorders>
              <w:top w:val="nil"/>
              <w:left w:val="nil"/>
              <w:bottom w:val="nil"/>
              <w:right w:val="single" w:sz="4" w:space="0" w:color="auto"/>
            </w:tcBorders>
            <w:shd w:val="clear" w:color="auto" w:fill="auto"/>
            <w:vAlign w:val="center"/>
            <w:hideMark/>
          </w:tcPr>
          <w:p w14:paraId="53EEA6CE"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lang w:eastAsia="en-GB"/>
              </w:rPr>
              <w:t>62</w:t>
            </w:r>
          </w:p>
        </w:tc>
      </w:tr>
      <w:tr w:rsidR="00565C26" w:rsidRPr="00565C26" w14:paraId="1A06DFE0" w14:textId="77777777" w:rsidTr="00565C26">
        <w:trPr>
          <w:trHeight w:val="450"/>
        </w:trPr>
        <w:tc>
          <w:tcPr>
            <w:tcW w:w="3940" w:type="dxa"/>
            <w:tcBorders>
              <w:top w:val="nil"/>
              <w:left w:val="single" w:sz="4" w:space="0" w:color="auto"/>
              <w:bottom w:val="single" w:sz="4" w:space="0" w:color="auto"/>
              <w:right w:val="nil"/>
            </w:tcBorders>
            <w:shd w:val="clear" w:color="auto" w:fill="auto"/>
            <w:vAlign w:val="center"/>
            <w:hideMark/>
          </w:tcPr>
          <w:p w14:paraId="6AE4AE62" w14:textId="77777777" w:rsidR="00565C26" w:rsidRPr="00565C26" w:rsidRDefault="00565C26" w:rsidP="00565C26">
            <w:pPr>
              <w:spacing w:after="0" w:line="240" w:lineRule="auto"/>
              <w:rPr>
                <w:rFonts w:ascii="Arial" w:eastAsia="Times New Roman" w:hAnsi="Arial" w:cs="Arial"/>
                <w:lang w:eastAsia="en-GB"/>
              </w:rPr>
            </w:pPr>
            <w:r w:rsidRPr="00565C26">
              <w:rPr>
                <w:rFonts w:ascii="Arial" w:eastAsia="Times New Roman" w:hAnsi="Arial" w:cs="Arial"/>
                <w:lang w:eastAsia="en-GB"/>
              </w:rPr>
              <w:t>Other material items</w:t>
            </w:r>
          </w:p>
        </w:tc>
        <w:tc>
          <w:tcPr>
            <w:tcW w:w="1220" w:type="dxa"/>
            <w:tcBorders>
              <w:top w:val="nil"/>
              <w:left w:val="nil"/>
              <w:bottom w:val="single" w:sz="4" w:space="0" w:color="auto"/>
              <w:right w:val="nil"/>
            </w:tcBorders>
            <w:shd w:val="clear" w:color="auto" w:fill="auto"/>
            <w:vAlign w:val="center"/>
            <w:hideMark/>
          </w:tcPr>
          <w:p w14:paraId="6202E43B"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lang w:eastAsia="en-GB"/>
              </w:rPr>
              <w:t>0</w:t>
            </w:r>
          </w:p>
        </w:tc>
        <w:tc>
          <w:tcPr>
            <w:tcW w:w="1240" w:type="dxa"/>
            <w:tcBorders>
              <w:top w:val="nil"/>
              <w:left w:val="nil"/>
              <w:bottom w:val="single" w:sz="4" w:space="0" w:color="auto"/>
              <w:right w:val="nil"/>
            </w:tcBorders>
            <w:shd w:val="clear" w:color="auto" w:fill="auto"/>
            <w:vAlign w:val="center"/>
            <w:hideMark/>
          </w:tcPr>
          <w:p w14:paraId="23FA8460"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lang w:eastAsia="en-GB"/>
              </w:rPr>
              <w:t>25</w:t>
            </w:r>
          </w:p>
        </w:tc>
        <w:tc>
          <w:tcPr>
            <w:tcW w:w="1520" w:type="dxa"/>
            <w:tcBorders>
              <w:top w:val="nil"/>
              <w:left w:val="nil"/>
              <w:bottom w:val="single" w:sz="4" w:space="0" w:color="auto"/>
              <w:right w:val="nil"/>
            </w:tcBorders>
            <w:shd w:val="clear" w:color="auto" w:fill="auto"/>
            <w:vAlign w:val="center"/>
            <w:hideMark/>
          </w:tcPr>
          <w:p w14:paraId="5CB521A7"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lang w:eastAsia="en-GB"/>
              </w:rPr>
              <w:t>0</w:t>
            </w:r>
          </w:p>
        </w:tc>
        <w:tc>
          <w:tcPr>
            <w:tcW w:w="1340" w:type="dxa"/>
            <w:tcBorders>
              <w:top w:val="nil"/>
              <w:left w:val="nil"/>
              <w:bottom w:val="single" w:sz="4" w:space="0" w:color="auto"/>
              <w:right w:val="nil"/>
            </w:tcBorders>
            <w:shd w:val="clear" w:color="auto" w:fill="auto"/>
            <w:vAlign w:val="center"/>
            <w:hideMark/>
          </w:tcPr>
          <w:p w14:paraId="2BD8E826"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lang w:eastAsia="en-GB"/>
              </w:rPr>
              <w:t>0</w:t>
            </w:r>
          </w:p>
        </w:tc>
        <w:tc>
          <w:tcPr>
            <w:tcW w:w="1480" w:type="dxa"/>
            <w:tcBorders>
              <w:top w:val="nil"/>
              <w:left w:val="nil"/>
              <w:bottom w:val="single" w:sz="4" w:space="0" w:color="auto"/>
              <w:right w:val="nil"/>
            </w:tcBorders>
            <w:shd w:val="clear" w:color="auto" w:fill="auto"/>
            <w:vAlign w:val="center"/>
            <w:hideMark/>
          </w:tcPr>
          <w:p w14:paraId="3B4EC389"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lang w:eastAsia="en-GB"/>
              </w:rPr>
              <w:t>0</w:t>
            </w:r>
          </w:p>
        </w:tc>
        <w:tc>
          <w:tcPr>
            <w:tcW w:w="960" w:type="dxa"/>
            <w:tcBorders>
              <w:top w:val="nil"/>
              <w:left w:val="nil"/>
              <w:bottom w:val="single" w:sz="4" w:space="0" w:color="auto"/>
              <w:right w:val="nil"/>
            </w:tcBorders>
            <w:shd w:val="clear" w:color="auto" w:fill="auto"/>
            <w:vAlign w:val="center"/>
            <w:hideMark/>
          </w:tcPr>
          <w:p w14:paraId="57B02E6B"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lang w:eastAsia="en-GB"/>
              </w:rPr>
              <w:t>0</w:t>
            </w:r>
          </w:p>
        </w:tc>
        <w:tc>
          <w:tcPr>
            <w:tcW w:w="1160" w:type="dxa"/>
            <w:tcBorders>
              <w:top w:val="nil"/>
              <w:left w:val="nil"/>
              <w:bottom w:val="single" w:sz="4" w:space="0" w:color="auto"/>
              <w:right w:val="nil"/>
            </w:tcBorders>
            <w:shd w:val="clear" w:color="auto" w:fill="auto"/>
            <w:vAlign w:val="center"/>
            <w:hideMark/>
          </w:tcPr>
          <w:p w14:paraId="1CF19BEF"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lang w:eastAsia="en-GB"/>
              </w:rPr>
              <w:t>0</w:t>
            </w:r>
          </w:p>
        </w:tc>
        <w:tc>
          <w:tcPr>
            <w:tcW w:w="960" w:type="dxa"/>
            <w:tcBorders>
              <w:top w:val="nil"/>
              <w:left w:val="nil"/>
              <w:bottom w:val="single" w:sz="4" w:space="0" w:color="auto"/>
              <w:right w:val="nil"/>
            </w:tcBorders>
            <w:shd w:val="clear" w:color="auto" w:fill="auto"/>
            <w:vAlign w:val="center"/>
            <w:hideMark/>
          </w:tcPr>
          <w:p w14:paraId="7BF7EA3A"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lang w:eastAsia="en-GB"/>
              </w:rPr>
              <w:t>0</w:t>
            </w:r>
          </w:p>
        </w:tc>
        <w:tc>
          <w:tcPr>
            <w:tcW w:w="1140" w:type="dxa"/>
            <w:tcBorders>
              <w:top w:val="nil"/>
              <w:left w:val="nil"/>
              <w:bottom w:val="single" w:sz="4" w:space="0" w:color="auto"/>
              <w:right w:val="single" w:sz="4" w:space="0" w:color="auto"/>
            </w:tcBorders>
            <w:shd w:val="clear" w:color="auto" w:fill="auto"/>
            <w:vAlign w:val="center"/>
            <w:hideMark/>
          </w:tcPr>
          <w:p w14:paraId="70E19B11"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lang w:eastAsia="en-GB"/>
              </w:rPr>
              <w:t>26</w:t>
            </w:r>
          </w:p>
        </w:tc>
      </w:tr>
      <w:tr w:rsidR="00565C26" w:rsidRPr="00565C26" w14:paraId="719E1369" w14:textId="77777777" w:rsidTr="00565C26">
        <w:trPr>
          <w:trHeight w:val="450"/>
        </w:trPr>
        <w:tc>
          <w:tcPr>
            <w:tcW w:w="3940" w:type="dxa"/>
            <w:tcBorders>
              <w:top w:val="nil"/>
              <w:left w:val="single" w:sz="4" w:space="0" w:color="auto"/>
              <w:bottom w:val="single" w:sz="4" w:space="0" w:color="auto"/>
              <w:right w:val="nil"/>
            </w:tcBorders>
            <w:shd w:val="clear" w:color="auto" w:fill="auto"/>
            <w:vAlign w:val="center"/>
            <w:hideMark/>
          </w:tcPr>
          <w:p w14:paraId="14C7623A" w14:textId="77777777" w:rsidR="00565C26" w:rsidRPr="00565C26" w:rsidRDefault="00565C26" w:rsidP="00565C26">
            <w:pPr>
              <w:spacing w:after="0" w:line="240" w:lineRule="auto"/>
              <w:rPr>
                <w:rFonts w:ascii="Arial" w:eastAsia="Times New Roman" w:hAnsi="Arial" w:cs="Arial"/>
                <w:lang w:eastAsia="en-GB"/>
              </w:rPr>
            </w:pPr>
            <w:r w:rsidRPr="00565C26">
              <w:rPr>
                <w:rFonts w:ascii="Arial" w:eastAsia="Times New Roman" w:hAnsi="Arial" w:cs="Arial"/>
                <w:lang w:eastAsia="en-GB"/>
              </w:rPr>
              <w:t>Total income items</w:t>
            </w:r>
          </w:p>
        </w:tc>
        <w:tc>
          <w:tcPr>
            <w:tcW w:w="1220" w:type="dxa"/>
            <w:tcBorders>
              <w:top w:val="nil"/>
              <w:left w:val="nil"/>
              <w:bottom w:val="single" w:sz="4" w:space="0" w:color="auto"/>
              <w:right w:val="nil"/>
            </w:tcBorders>
            <w:shd w:val="clear" w:color="auto" w:fill="auto"/>
            <w:vAlign w:val="center"/>
            <w:hideMark/>
          </w:tcPr>
          <w:p w14:paraId="40101A58"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lang w:eastAsia="en-GB"/>
              </w:rPr>
              <w:t>8</w:t>
            </w:r>
          </w:p>
        </w:tc>
        <w:tc>
          <w:tcPr>
            <w:tcW w:w="1240" w:type="dxa"/>
            <w:tcBorders>
              <w:top w:val="nil"/>
              <w:left w:val="nil"/>
              <w:bottom w:val="single" w:sz="4" w:space="0" w:color="auto"/>
              <w:right w:val="nil"/>
            </w:tcBorders>
            <w:shd w:val="clear" w:color="auto" w:fill="auto"/>
            <w:vAlign w:val="center"/>
            <w:hideMark/>
          </w:tcPr>
          <w:p w14:paraId="44CF828D"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lang w:eastAsia="en-GB"/>
              </w:rPr>
              <w:t>245</w:t>
            </w:r>
          </w:p>
        </w:tc>
        <w:tc>
          <w:tcPr>
            <w:tcW w:w="1520" w:type="dxa"/>
            <w:tcBorders>
              <w:top w:val="nil"/>
              <w:left w:val="nil"/>
              <w:bottom w:val="single" w:sz="4" w:space="0" w:color="auto"/>
              <w:right w:val="nil"/>
            </w:tcBorders>
            <w:shd w:val="clear" w:color="auto" w:fill="auto"/>
            <w:vAlign w:val="center"/>
            <w:hideMark/>
          </w:tcPr>
          <w:p w14:paraId="67D03A3B"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lang w:eastAsia="en-GB"/>
              </w:rPr>
              <w:t>133</w:t>
            </w:r>
          </w:p>
        </w:tc>
        <w:tc>
          <w:tcPr>
            <w:tcW w:w="1340" w:type="dxa"/>
            <w:tcBorders>
              <w:top w:val="nil"/>
              <w:left w:val="nil"/>
              <w:bottom w:val="single" w:sz="4" w:space="0" w:color="auto"/>
              <w:right w:val="nil"/>
            </w:tcBorders>
            <w:shd w:val="clear" w:color="auto" w:fill="auto"/>
            <w:vAlign w:val="center"/>
            <w:hideMark/>
          </w:tcPr>
          <w:p w14:paraId="3A56CF90"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lang w:eastAsia="en-GB"/>
              </w:rPr>
              <w:t>93</w:t>
            </w:r>
          </w:p>
        </w:tc>
        <w:tc>
          <w:tcPr>
            <w:tcW w:w="1480" w:type="dxa"/>
            <w:tcBorders>
              <w:top w:val="nil"/>
              <w:left w:val="nil"/>
              <w:bottom w:val="single" w:sz="4" w:space="0" w:color="auto"/>
              <w:right w:val="nil"/>
            </w:tcBorders>
            <w:shd w:val="clear" w:color="auto" w:fill="auto"/>
            <w:vAlign w:val="center"/>
            <w:hideMark/>
          </w:tcPr>
          <w:p w14:paraId="2F6590E5"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lang w:eastAsia="en-GB"/>
              </w:rPr>
              <w:t>31</w:t>
            </w:r>
          </w:p>
        </w:tc>
        <w:tc>
          <w:tcPr>
            <w:tcW w:w="960" w:type="dxa"/>
            <w:tcBorders>
              <w:top w:val="nil"/>
              <w:left w:val="nil"/>
              <w:bottom w:val="single" w:sz="4" w:space="0" w:color="auto"/>
              <w:right w:val="nil"/>
            </w:tcBorders>
            <w:shd w:val="clear" w:color="auto" w:fill="auto"/>
            <w:vAlign w:val="center"/>
            <w:hideMark/>
          </w:tcPr>
          <w:p w14:paraId="667462E7"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lang w:eastAsia="en-GB"/>
              </w:rPr>
              <w:t>59</w:t>
            </w:r>
          </w:p>
        </w:tc>
        <w:tc>
          <w:tcPr>
            <w:tcW w:w="1160" w:type="dxa"/>
            <w:tcBorders>
              <w:top w:val="nil"/>
              <w:left w:val="nil"/>
              <w:bottom w:val="single" w:sz="4" w:space="0" w:color="auto"/>
              <w:right w:val="nil"/>
            </w:tcBorders>
            <w:shd w:val="clear" w:color="auto" w:fill="auto"/>
            <w:vAlign w:val="center"/>
            <w:hideMark/>
          </w:tcPr>
          <w:p w14:paraId="1A031D39"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lang w:eastAsia="en-GB"/>
              </w:rPr>
              <w:t>44</w:t>
            </w:r>
          </w:p>
        </w:tc>
        <w:tc>
          <w:tcPr>
            <w:tcW w:w="960" w:type="dxa"/>
            <w:tcBorders>
              <w:top w:val="nil"/>
              <w:left w:val="nil"/>
              <w:bottom w:val="single" w:sz="4" w:space="0" w:color="auto"/>
              <w:right w:val="nil"/>
            </w:tcBorders>
            <w:shd w:val="clear" w:color="auto" w:fill="auto"/>
            <w:vAlign w:val="center"/>
            <w:hideMark/>
          </w:tcPr>
          <w:p w14:paraId="0484DD5E"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lang w:eastAsia="en-GB"/>
              </w:rPr>
              <w:t>85</w:t>
            </w:r>
          </w:p>
        </w:tc>
        <w:tc>
          <w:tcPr>
            <w:tcW w:w="1140" w:type="dxa"/>
            <w:tcBorders>
              <w:top w:val="nil"/>
              <w:left w:val="nil"/>
              <w:bottom w:val="single" w:sz="4" w:space="0" w:color="auto"/>
              <w:right w:val="single" w:sz="4" w:space="0" w:color="auto"/>
            </w:tcBorders>
            <w:shd w:val="clear" w:color="auto" w:fill="auto"/>
            <w:vAlign w:val="center"/>
            <w:hideMark/>
          </w:tcPr>
          <w:p w14:paraId="782D0176"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lang w:eastAsia="en-GB"/>
              </w:rPr>
              <w:t>697</w:t>
            </w:r>
          </w:p>
        </w:tc>
      </w:tr>
      <w:tr w:rsidR="00565C26" w:rsidRPr="00565C26" w14:paraId="2DDB8E87" w14:textId="77777777" w:rsidTr="00565C26">
        <w:trPr>
          <w:trHeight w:val="450"/>
        </w:trPr>
        <w:tc>
          <w:tcPr>
            <w:tcW w:w="3940" w:type="dxa"/>
            <w:tcBorders>
              <w:top w:val="nil"/>
              <w:left w:val="single" w:sz="4" w:space="0" w:color="auto"/>
              <w:bottom w:val="single" w:sz="4" w:space="0" w:color="auto"/>
              <w:right w:val="nil"/>
            </w:tcBorders>
            <w:shd w:val="clear" w:color="auto" w:fill="auto"/>
            <w:vAlign w:val="center"/>
            <w:hideMark/>
          </w:tcPr>
          <w:p w14:paraId="585B939C" w14:textId="77777777" w:rsidR="00565C26" w:rsidRPr="000F2FDC" w:rsidRDefault="00565C26" w:rsidP="00565C26">
            <w:pPr>
              <w:spacing w:after="0" w:line="240" w:lineRule="auto"/>
              <w:rPr>
                <w:rFonts w:ascii="Arial" w:eastAsia="Times New Roman" w:hAnsi="Arial" w:cs="Arial"/>
                <w:lang w:eastAsia="en-GB"/>
              </w:rPr>
            </w:pPr>
            <w:r w:rsidRPr="000F2FDC">
              <w:rPr>
                <w:rFonts w:ascii="Arial" w:eastAsia="Times New Roman" w:hAnsi="Arial" w:cs="Arial"/>
                <w:lang w:eastAsia="en-GB"/>
              </w:rPr>
              <w:t>Total as % of income</w:t>
            </w:r>
          </w:p>
        </w:tc>
        <w:tc>
          <w:tcPr>
            <w:tcW w:w="1220" w:type="dxa"/>
            <w:tcBorders>
              <w:top w:val="nil"/>
              <w:left w:val="nil"/>
              <w:bottom w:val="single" w:sz="4" w:space="0" w:color="auto"/>
              <w:right w:val="nil"/>
            </w:tcBorders>
            <w:shd w:val="clear" w:color="auto" w:fill="auto"/>
            <w:vAlign w:val="center"/>
            <w:hideMark/>
          </w:tcPr>
          <w:p w14:paraId="4C3ABA3D" w14:textId="77777777" w:rsidR="00565C26" w:rsidRPr="000F2FDC" w:rsidRDefault="00565C26" w:rsidP="00565C26">
            <w:pPr>
              <w:spacing w:after="0" w:line="240" w:lineRule="auto"/>
              <w:jc w:val="right"/>
              <w:rPr>
                <w:rFonts w:ascii="Arial" w:eastAsia="Times New Roman" w:hAnsi="Arial" w:cs="Arial"/>
                <w:lang w:eastAsia="en-GB"/>
              </w:rPr>
            </w:pPr>
            <w:r w:rsidRPr="000F2FDC">
              <w:rPr>
                <w:rFonts w:ascii="Arial" w:eastAsia="Times New Roman" w:hAnsi="Arial" w:cs="Arial"/>
                <w:lang w:eastAsia="en-GB"/>
              </w:rPr>
              <w:t>0.4%</w:t>
            </w:r>
          </w:p>
        </w:tc>
        <w:tc>
          <w:tcPr>
            <w:tcW w:w="1240" w:type="dxa"/>
            <w:tcBorders>
              <w:top w:val="nil"/>
              <w:left w:val="nil"/>
              <w:bottom w:val="single" w:sz="4" w:space="0" w:color="auto"/>
              <w:right w:val="nil"/>
            </w:tcBorders>
            <w:shd w:val="clear" w:color="auto" w:fill="auto"/>
            <w:vAlign w:val="center"/>
            <w:hideMark/>
          </w:tcPr>
          <w:p w14:paraId="04078597" w14:textId="77777777" w:rsidR="00565C26" w:rsidRPr="000F2FDC" w:rsidRDefault="00565C26" w:rsidP="00565C26">
            <w:pPr>
              <w:spacing w:after="0" w:line="240" w:lineRule="auto"/>
              <w:jc w:val="right"/>
              <w:rPr>
                <w:rFonts w:ascii="Arial" w:eastAsia="Times New Roman" w:hAnsi="Arial" w:cs="Arial"/>
                <w:lang w:eastAsia="en-GB"/>
              </w:rPr>
            </w:pPr>
            <w:r w:rsidRPr="000F2FDC">
              <w:rPr>
                <w:rFonts w:ascii="Arial" w:eastAsia="Times New Roman" w:hAnsi="Arial" w:cs="Arial"/>
                <w:lang w:eastAsia="en-GB"/>
              </w:rPr>
              <w:t>43.6%</w:t>
            </w:r>
          </w:p>
        </w:tc>
        <w:tc>
          <w:tcPr>
            <w:tcW w:w="1520" w:type="dxa"/>
            <w:tcBorders>
              <w:top w:val="nil"/>
              <w:left w:val="nil"/>
              <w:bottom w:val="single" w:sz="4" w:space="0" w:color="auto"/>
              <w:right w:val="nil"/>
            </w:tcBorders>
            <w:shd w:val="clear" w:color="auto" w:fill="auto"/>
            <w:vAlign w:val="center"/>
            <w:hideMark/>
          </w:tcPr>
          <w:p w14:paraId="2F9C93A6" w14:textId="77777777" w:rsidR="00565C26" w:rsidRPr="000F2FDC" w:rsidRDefault="00565C26" w:rsidP="00565C26">
            <w:pPr>
              <w:spacing w:after="0" w:line="240" w:lineRule="auto"/>
              <w:jc w:val="right"/>
              <w:rPr>
                <w:rFonts w:ascii="Arial" w:eastAsia="Times New Roman" w:hAnsi="Arial" w:cs="Arial"/>
                <w:lang w:eastAsia="en-GB"/>
              </w:rPr>
            </w:pPr>
            <w:r w:rsidRPr="000F2FDC">
              <w:rPr>
                <w:rFonts w:ascii="Arial" w:eastAsia="Times New Roman" w:hAnsi="Arial" w:cs="Arial"/>
                <w:lang w:eastAsia="en-GB"/>
              </w:rPr>
              <w:t>10.6%</w:t>
            </w:r>
          </w:p>
        </w:tc>
        <w:tc>
          <w:tcPr>
            <w:tcW w:w="1340" w:type="dxa"/>
            <w:tcBorders>
              <w:top w:val="nil"/>
              <w:left w:val="nil"/>
              <w:bottom w:val="single" w:sz="4" w:space="0" w:color="auto"/>
              <w:right w:val="nil"/>
            </w:tcBorders>
            <w:shd w:val="clear" w:color="auto" w:fill="auto"/>
            <w:vAlign w:val="center"/>
            <w:hideMark/>
          </w:tcPr>
          <w:p w14:paraId="24D91E13" w14:textId="77777777" w:rsidR="00565C26" w:rsidRPr="000F2FDC" w:rsidRDefault="00565C26" w:rsidP="00565C26">
            <w:pPr>
              <w:spacing w:after="0" w:line="240" w:lineRule="auto"/>
              <w:jc w:val="right"/>
              <w:rPr>
                <w:rFonts w:ascii="Arial" w:eastAsia="Times New Roman" w:hAnsi="Arial" w:cs="Arial"/>
                <w:lang w:eastAsia="en-GB"/>
              </w:rPr>
            </w:pPr>
            <w:r w:rsidRPr="000F2FDC">
              <w:rPr>
                <w:rFonts w:ascii="Arial" w:eastAsia="Times New Roman" w:hAnsi="Arial" w:cs="Arial"/>
                <w:lang w:eastAsia="en-GB"/>
              </w:rPr>
              <w:t>4.1%</w:t>
            </w:r>
          </w:p>
        </w:tc>
        <w:tc>
          <w:tcPr>
            <w:tcW w:w="1480" w:type="dxa"/>
            <w:tcBorders>
              <w:top w:val="nil"/>
              <w:left w:val="nil"/>
              <w:bottom w:val="single" w:sz="4" w:space="0" w:color="auto"/>
              <w:right w:val="nil"/>
            </w:tcBorders>
            <w:shd w:val="clear" w:color="auto" w:fill="auto"/>
            <w:vAlign w:val="center"/>
            <w:hideMark/>
          </w:tcPr>
          <w:p w14:paraId="38637F6B" w14:textId="77777777" w:rsidR="00565C26" w:rsidRPr="000F2FDC" w:rsidRDefault="00565C26" w:rsidP="00565C26">
            <w:pPr>
              <w:spacing w:after="0" w:line="240" w:lineRule="auto"/>
              <w:jc w:val="right"/>
              <w:rPr>
                <w:rFonts w:ascii="Arial" w:eastAsia="Times New Roman" w:hAnsi="Arial" w:cs="Arial"/>
                <w:lang w:eastAsia="en-GB"/>
              </w:rPr>
            </w:pPr>
            <w:r w:rsidRPr="000F2FDC">
              <w:rPr>
                <w:rFonts w:ascii="Arial" w:eastAsia="Times New Roman" w:hAnsi="Arial" w:cs="Arial"/>
                <w:lang w:eastAsia="en-GB"/>
              </w:rPr>
              <w:t>2.7%</w:t>
            </w:r>
          </w:p>
        </w:tc>
        <w:tc>
          <w:tcPr>
            <w:tcW w:w="960" w:type="dxa"/>
            <w:tcBorders>
              <w:top w:val="nil"/>
              <w:left w:val="nil"/>
              <w:bottom w:val="single" w:sz="4" w:space="0" w:color="auto"/>
              <w:right w:val="nil"/>
            </w:tcBorders>
            <w:shd w:val="clear" w:color="auto" w:fill="auto"/>
            <w:vAlign w:val="center"/>
            <w:hideMark/>
          </w:tcPr>
          <w:p w14:paraId="5C1BEE68" w14:textId="77777777" w:rsidR="00565C26" w:rsidRPr="000F2FDC" w:rsidRDefault="00565C26" w:rsidP="00565C26">
            <w:pPr>
              <w:spacing w:after="0" w:line="240" w:lineRule="auto"/>
              <w:jc w:val="right"/>
              <w:rPr>
                <w:rFonts w:ascii="Arial" w:eastAsia="Times New Roman" w:hAnsi="Arial" w:cs="Arial"/>
                <w:lang w:eastAsia="en-GB"/>
              </w:rPr>
            </w:pPr>
            <w:r w:rsidRPr="000F2FDC">
              <w:rPr>
                <w:rFonts w:ascii="Arial" w:eastAsia="Times New Roman" w:hAnsi="Arial" w:cs="Arial"/>
                <w:lang w:eastAsia="en-GB"/>
              </w:rPr>
              <w:t>7.0%</w:t>
            </w:r>
          </w:p>
        </w:tc>
        <w:tc>
          <w:tcPr>
            <w:tcW w:w="1160" w:type="dxa"/>
            <w:tcBorders>
              <w:top w:val="nil"/>
              <w:left w:val="nil"/>
              <w:bottom w:val="single" w:sz="4" w:space="0" w:color="auto"/>
              <w:right w:val="nil"/>
            </w:tcBorders>
            <w:shd w:val="clear" w:color="auto" w:fill="auto"/>
            <w:vAlign w:val="center"/>
            <w:hideMark/>
          </w:tcPr>
          <w:p w14:paraId="3695F103" w14:textId="77777777" w:rsidR="00565C26" w:rsidRPr="000F2FDC" w:rsidRDefault="00565C26" w:rsidP="00565C26">
            <w:pPr>
              <w:spacing w:after="0" w:line="240" w:lineRule="auto"/>
              <w:jc w:val="right"/>
              <w:rPr>
                <w:rFonts w:ascii="Arial" w:eastAsia="Times New Roman" w:hAnsi="Arial" w:cs="Arial"/>
                <w:lang w:eastAsia="en-GB"/>
              </w:rPr>
            </w:pPr>
            <w:r w:rsidRPr="000F2FDC">
              <w:rPr>
                <w:rFonts w:ascii="Arial" w:eastAsia="Times New Roman" w:hAnsi="Arial" w:cs="Arial"/>
                <w:lang w:eastAsia="en-GB"/>
              </w:rPr>
              <w:t>3.4%</w:t>
            </w:r>
          </w:p>
        </w:tc>
        <w:tc>
          <w:tcPr>
            <w:tcW w:w="960" w:type="dxa"/>
            <w:tcBorders>
              <w:top w:val="nil"/>
              <w:left w:val="nil"/>
              <w:bottom w:val="single" w:sz="4" w:space="0" w:color="auto"/>
              <w:right w:val="nil"/>
            </w:tcBorders>
            <w:shd w:val="clear" w:color="auto" w:fill="auto"/>
            <w:vAlign w:val="center"/>
            <w:hideMark/>
          </w:tcPr>
          <w:p w14:paraId="314BC2C7" w14:textId="77777777" w:rsidR="00565C26" w:rsidRPr="000F2FDC" w:rsidRDefault="00565C26" w:rsidP="00565C26">
            <w:pPr>
              <w:spacing w:after="0" w:line="240" w:lineRule="auto"/>
              <w:jc w:val="right"/>
              <w:rPr>
                <w:rFonts w:ascii="Arial" w:eastAsia="Times New Roman" w:hAnsi="Arial" w:cs="Arial"/>
                <w:lang w:eastAsia="en-GB"/>
              </w:rPr>
            </w:pPr>
            <w:r w:rsidRPr="000F2FDC">
              <w:rPr>
                <w:rFonts w:ascii="Arial" w:eastAsia="Times New Roman" w:hAnsi="Arial" w:cs="Arial"/>
                <w:lang w:eastAsia="en-GB"/>
              </w:rPr>
              <w:t>6.6%</w:t>
            </w:r>
          </w:p>
        </w:tc>
        <w:tc>
          <w:tcPr>
            <w:tcW w:w="1140" w:type="dxa"/>
            <w:tcBorders>
              <w:top w:val="nil"/>
              <w:left w:val="nil"/>
              <w:bottom w:val="single" w:sz="4" w:space="0" w:color="auto"/>
              <w:right w:val="single" w:sz="4" w:space="0" w:color="auto"/>
            </w:tcBorders>
            <w:shd w:val="clear" w:color="auto" w:fill="auto"/>
            <w:vAlign w:val="center"/>
            <w:hideMark/>
          </w:tcPr>
          <w:p w14:paraId="427C1918" w14:textId="77777777" w:rsidR="00565C26" w:rsidRPr="000F2FDC" w:rsidRDefault="00565C26" w:rsidP="00565C26">
            <w:pPr>
              <w:spacing w:after="0" w:line="240" w:lineRule="auto"/>
              <w:jc w:val="right"/>
              <w:rPr>
                <w:rFonts w:ascii="Arial" w:eastAsia="Times New Roman" w:hAnsi="Arial" w:cs="Arial"/>
                <w:lang w:eastAsia="en-GB"/>
              </w:rPr>
            </w:pPr>
            <w:r w:rsidRPr="000F2FDC">
              <w:rPr>
                <w:rFonts w:ascii="Arial" w:eastAsia="Times New Roman" w:hAnsi="Arial" w:cs="Arial"/>
                <w:lang w:eastAsia="en-GB"/>
              </w:rPr>
              <w:t>6.5%</w:t>
            </w:r>
          </w:p>
        </w:tc>
      </w:tr>
      <w:tr w:rsidR="00565C26" w:rsidRPr="00565C26" w14:paraId="731E256E" w14:textId="77777777" w:rsidTr="00565C26">
        <w:trPr>
          <w:trHeight w:val="450"/>
        </w:trPr>
        <w:tc>
          <w:tcPr>
            <w:tcW w:w="3940" w:type="dxa"/>
            <w:tcBorders>
              <w:top w:val="nil"/>
              <w:left w:val="single" w:sz="4" w:space="0" w:color="auto"/>
              <w:bottom w:val="single" w:sz="4" w:space="0" w:color="auto"/>
              <w:right w:val="nil"/>
            </w:tcBorders>
            <w:shd w:val="clear" w:color="auto" w:fill="auto"/>
            <w:vAlign w:val="center"/>
            <w:hideMark/>
          </w:tcPr>
          <w:p w14:paraId="5AF79E98" w14:textId="05224FA3" w:rsidR="00565C26" w:rsidRPr="00565C26" w:rsidRDefault="00565C26" w:rsidP="00565C26">
            <w:pPr>
              <w:spacing w:after="0" w:line="240" w:lineRule="auto"/>
              <w:rPr>
                <w:rFonts w:ascii="Arial" w:eastAsia="Times New Roman" w:hAnsi="Arial" w:cs="Arial"/>
                <w:lang w:eastAsia="en-GB"/>
              </w:rPr>
            </w:pPr>
            <w:r w:rsidRPr="00565C26">
              <w:rPr>
                <w:rFonts w:ascii="Arial" w:eastAsia="Times New Roman" w:hAnsi="Arial" w:cs="Arial"/>
                <w:lang w:eastAsia="en-GB"/>
              </w:rPr>
              <w:t xml:space="preserve">Total as % </w:t>
            </w:r>
            <w:r w:rsidR="004B4064">
              <w:rPr>
                <w:rFonts w:ascii="Arial" w:eastAsia="Times New Roman" w:hAnsi="Arial" w:cs="Arial"/>
                <w:lang w:eastAsia="en-GB"/>
              </w:rPr>
              <w:t xml:space="preserve">of </w:t>
            </w:r>
            <w:r w:rsidRPr="00565C26">
              <w:rPr>
                <w:rFonts w:ascii="Arial" w:eastAsia="Times New Roman" w:hAnsi="Arial" w:cs="Arial"/>
                <w:lang w:eastAsia="en-GB"/>
              </w:rPr>
              <w:t>income (2017-18)</w:t>
            </w:r>
          </w:p>
        </w:tc>
        <w:tc>
          <w:tcPr>
            <w:tcW w:w="1220" w:type="dxa"/>
            <w:tcBorders>
              <w:top w:val="nil"/>
              <w:left w:val="nil"/>
              <w:bottom w:val="single" w:sz="4" w:space="0" w:color="auto"/>
              <w:right w:val="nil"/>
            </w:tcBorders>
            <w:shd w:val="clear" w:color="auto" w:fill="auto"/>
            <w:vAlign w:val="center"/>
            <w:hideMark/>
          </w:tcPr>
          <w:p w14:paraId="688C06FB"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lang w:eastAsia="en-GB"/>
              </w:rPr>
              <w:t>2.8%</w:t>
            </w:r>
          </w:p>
        </w:tc>
        <w:tc>
          <w:tcPr>
            <w:tcW w:w="1240" w:type="dxa"/>
            <w:tcBorders>
              <w:top w:val="nil"/>
              <w:left w:val="nil"/>
              <w:bottom w:val="single" w:sz="4" w:space="0" w:color="auto"/>
              <w:right w:val="nil"/>
            </w:tcBorders>
            <w:shd w:val="clear" w:color="auto" w:fill="auto"/>
            <w:vAlign w:val="center"/>
            <w:hideMark/>
          </w:tcPr>
          <w:p w14:paraId="5EF4BC40"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lang w:eastAsia="en-GB"/>
              </w:rPr>
              <w:t>37.6%</w:t>
            </w:r>
          </w:p>
        </w:tc>
        <w:tc>
          <w:tcPr>
            <w:tcW w:w="1520" w:type="dxa"/>
            <w:tcBorders>
              <w:top w:val="nil"/>
              <w:left w:val="nil"/>
              <w:bottom w:val="single" w:sz="4" w:space="0" w:color="auto"/>
              <w:right w:val="nil"/>
            </w:tcBorders>
            <w:shd w:val="clear" w:color="auto" w:fill="auto"/>
            <w:vAlign w:val="center"/>
            <w:hideMark/>
          </w:tcPr>
          <w:p w14:paraId="6DE6C0C2"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lang w:eastAsia="en-GB"/>
              </w:rPr>
              <w:t>3.1%</w:t>
            </w:r>
          </w:p>
        </w:tc>
        <w:tc>
          <w:tcPr>
            <w:tcW w:w="1340" w:type="dxa"/>
            <w:tcBorders>
              <w:top w:val="nil"/>
              <w:left w:val="nil"/>
              <w:bottom w:val="single" w:sz="4" w:space="0" w:color="auto"/>
              <w:right w:val="nil"/>
            </w:tcBorders>
            <w:shd w:val="clear" w:color="auto" w:fill="auto"/>
            <w:vAlign w:val="center"/>
            <w:hideMark/>
          </w:tcPr>
          <w:p w14:paraId="487DC6B1"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lang w:eastAsia="en-GB"/>
              </w:rPr>
              <w:t>4.2%</w:t>
            </w:r>
          </w:p>
        </w:tc>
        <w:tc>
          <w:tcPr>
            <w:tcW w:w="1480" w:type="dxa"/>
            <w:tcBorders>
              <w:top w:val="nil"/>
              <w:left w:val="nil"/>
              <w:bottom w:val="single" w:sz="4" w:space="0" w:color="auto"/>
              <w:right w:val="nil"/>
            </w:tcBorders>
            <w:shd w:val="clear" w:color="auto" w:fill="auto"/>
            <w:vAlign w:val="center"/>
            <w:hideMark/>
          </w:tcPr>
          <w:p w14:paraId="1C3C43A7"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lang w:eastAsia="en-GB"/>
              </w:rPr>
              <w:t>4.0%</w:t>
            </w:r>
          </w:p>
        </w:tc>
        <w:tc>
          <w:tcPr>
            <w:tcW w:w="960" w:type="dxa"/>
            <w:tcBorders>
              <w:top w:val="nil"/>
              <w:left w:val="nil"/>
              <w:bottom w:val="single" w:sz="4" w:space="0" w:color="auto"/>
              <w:right w:val="nil"/>
            </w:tcBorders>
            <w:shd w:val="clear" w:color="auto" w:fill="auto"/>
            <w:vAlign w:val="center"/>
            <w:hideMark/>
          </w:tcPr>
          <w:p w14:paraId="4EFC1EDB"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lang w:eastAsia="en-GB"/>
              </w:rPr>
              <w:t>2.9%</w:t>
            </w:r>
          </w:p>
        </w:tc>
        <w:tc>
          <w:tcPr>
            <w:tcW w:w="1160" w:type="dxa"/>
            <w:tcBorders>
              <w:top w:val="nil"/>
              <w:left w:val="nil"/>
              <w:bottom w:val="single" w:sz="4" w:space="0" w:color="auto"/>
              <w:right w:val="nil"/>
            </w:tcBorders>
            <w:shd w:val="clear" w:color="auto" w:fill="auto"/>
            <w:vAlign w:val="center"/>
            <w:hideMark/>
          </w:tcPr>
          <w:p w14:paraId="39389273"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lang w:eastAsia="en-GB"/>
              </w:rPr>
              <w:t>2.9%</w:t>
            </w:r>
          </w:p>
        </w:tc>
        <w:tc>
          <w:tcPr>
            <w:tcW w:w="960" w:type="dxa"/>
            <w:tcBorders>
              <w:top w:val="nil"/>
              <w:left w:val="nil"/>
              <w:bottom w:val="single" w:sz="4" w:space="0" w:color="auto"/>
              <w:right w:val="nil"/>
            </w:tcBorders>
            <w:shd w:val="clear" w:color="auto" w:fill="auto"/>
            <w:vAlign w:val="center"/>
            <w:hideMark/>
          </w:tcPr>
          <w:p w14:paraId="4A5705EA"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lang w:eastAsia="en-GB"/>
              </w:rPr>
              <w:t>7.2%</w:t>
            </w:r>
          </w:p>
        </w:tc>
        <w:tc>
          <w:tcPr>
            <w:tcW w:w="1140" w:type="dxa"/>
            <w:tcBorders>
              <w:top w:val="nil"/>
              <w:left w:val="nil"/>
              <w:bottom w:val="single" w:sz="4" w:space="0" w:color="auto"/>
              <w:right w:val="single" w:sz="4" w:space="0" w:color="auto"/>
            </w:tcBorders>
            <w:shd w:val="clear" w:color="auto" w:fill="auto"/>
            <w:vAlign w:val="center"/>
            <w:hideMark/>
          </w:tcPr>
          <w:p w14:paraId="078ACE6F" w14:textId="77777777" w:rsidR="00565C26" w:rsidRPr="00565C26" w:rsidRDefault="00565C26" w:rsidP="00565C26">
            <w:pPr>
              <w:spacing w:after="0" w:line="240" w:lineRule="auto"/>
              <w:jc w:val="right"/>
              <w:rPr>
                <w:rFonts w:ascii="Arial" w:eastAsia="Times New Roman" w:hAnsi="Arial" w:cs="Arial"/>
                <w:lang w:eastAsia="en-GB"/>
              </w:rPr>
            </w:pPr>
            <w:r w:rsidRPr="00565C26">
              <w:rPr>
                <w:rFonts w:ascii="Arial" w:eastAsia="Times New Roman" w:hAnsi="Arial" w:cs="Arial"/>
                <w:lang w:eastAsia="en-GB"/>
              </w:rPr>
              <w:t>5.3%</w:t>
            </w:r>
          </w:p>
        </w:tc>
      </w:tr>
    </w:tbl>
    <w:p w14:paraId="014BCDDA" w14:textId="77777777" w:rsidR="007B67E0" w:rsidRDefault="007B67E0" w:rsidP="009D4FC2">
      <w:pPr>
        <w:pStyle w:val="Heading4"/>
        <w:sectPr w:rsidR="007B67E0" w:rsidSect="00872692">
          <w:pgSz w:w="16838" w:h="11906" w:orient="landscape" w:code="9"/>
          <w:pgMar w:top="1134" w:right="1134" w:bottom="1134" w:left="1134" w:header="454" w:footer="454" w:gutter="0"/>
          <w:cols w:space="708"/>
          <w:titlePg/>
          <w:docGrid w:linePitch="360"/>
        </w:sectPr>
      </w:pPr>
    </w:p>
    <w:p w14:paraId="0C2D6530" w14:textId="163EC658" w:rsidR="003A5EE5" w:rsidRPr="00240128" w:rsidRDefault="003A5EE5" w:rsidP="009D4FC2">
      <w:pPr>
        <w:pStyle w:val="Heading4"/>
      </w:pPr>
      <w:r w:rsidRPr="00240128">
        <w:lastRenderedPageBreak/>
        <w:t>Notes to Table 5</w:t>
      </w:r>
    </w:p>
    <w:p w14:paraId="747DD732" w14:textId="77777777" w:rsidR="00C55875" w:rsidRDefault="003A5EE5" w:rsidP="00C40D4F">
      <w:pPr>
        <w:pStyle w:val="ListParagraph"/>
        <w:numPr>
          <w:ilvl w:val="0"/>
          <w:numId w:val="28"/>
        </w:numPr>
        <w:spacing w:after="240" w:line="300" w:lineRule="atLeast"/>
        <w:ind w:left="284" w:hanging="284"/>
        <w:contextualSpacing w:val="0"/>
      </w:pPr>
      <w:r>
        <w:t xml:space="preserve">‘European Union’ covers EU government bodies including the Commission. </w:t>
      </w:r>
    </w:p>
    <w:p w14:paraId="448FA5F3" w14:textId="43176B58" w:rsidR="003A5EE5" w:rsidRDefault="003A5EE5" w:rsidP="00C40D4F">
      <w:pPr>
        <w:pStyle w:val="ListParagraph"/>
        <w:numPr>
          <w:ilvl w:val="0"/>
          <w:numId w:val="28"/>
        </w:numPr>
        <w:spacing w:after="240" w:line="300" w:lineRule="atLeast"/>
        <w:ind w:left="284" w:hanging="284"/>
        <w:contextualSpacing w:val="0"/>
      </w:pPr>
      <w:r>
        <w:t xml:space="preserve">‘Industry’ includes all other organisations such as UK industry, commerce and public corporations, EU non-government organisations (comprising EU-based charities, EU industry and any other EU source), overseas charities, overseas </w:t>
      </w:r>
      <w:proofErr w:type="gramStart"/>
      <w:r>
        <w:t>industry</w:t>
      </w:r>
      <w:proofErr w:type="gramEnd"/>
      <w:r>
        <w:t xml:space="preserve"> and other sources.</w:t>
      </w:r>
    </w:p>
    <w:p w14:paraId="55DE2801" w14:textId="682861E2" w:rsidR="00DD13DE" w:rsidRDefault="00DD13DE" w:rsidP="003A5EE5">
      <w:pPr>
        <w:sectPr w:rsidR="00DD13DE" w:rsidSect="00433264">
          <w:pgSz w:w="11906" w:h="16838" w:code="9"/>
          <w:pgMar w:top="1134" w:right="1134" w:bottom="1134" w:left="1134" w:header="454" w:footer="454" w:gutter="0"/>
          <w:cols w:space="708"/>
          <w:titlePg/>
          <w:docGrid w:linePitch="360"/>
        </w:sectPr>
      </w:pPr>
    </w:p>
    <w:p w14:paraId="0874A109" w14:textId="77777777" w:rsidR="00905A10" w:rsidRDefault="00141A50" w:rsidP="00530261">
      <w:pPr>
        <w:pStyle w:val="Heading3"/>
      </w:pPr>
      <w:bookmarkStart w:id="14" w:name="_Toc42783359"/>
      <w:r w:rsidRPr="00BE1356">
        <w:lastRenderedPageBreak/>
        <w:t xml:space="preserve">Table 6: Derivation of Transparent Approach to Costing </w:t>
      </w:r>
      <w:r w:rsidR="005638E7">
        <w:t>(</w:t>
      </w:r>
      <w:r w:rsidRPr="00BE1356">
        <w:t>TRAC</w:t>
      </w:r>
      <w:r w:rsidR="005638E7">
        <w:t>)</w:t>
      </w:r>
      <w:r w:rsidRPr="00BE1356">
        <w:t xml:space="preserve"> full economic costs and</w:t>
      </w:r>
      <w:r w:rsidR="00983B88">
        <w:t xml:space="preserve"> TRAC surplus/(deficit)</w:t>
      </w:r>
      <w:r w:rsidRPr="00BE1356">
        <w:t xml:space="preserve"> (UK </w:t>
      </w:r>
      <w:r w:rsidR="00A71209">
        <w:t>higher education institutions)</w:t>
      </w:r>
      <w:bookmarkEnd w:id="14"/>
    </w:p>
    <w:tbl>
      <w:tblPr>
        <w:tblW w:w="9940" w:type="dxa"/>
        <w:tblLook w:val="04A0" w:firstRow="1" w:lastRow="0" w:firstColumn="1" w:lastColumn="0" w:noHBand="0" w:noVBand="1"/>
      </w:tblPr>
      <w:tblGrid>
        <w:gridCol w:w="8740"/>
        <w:gridCol w:w="1200"/>
      </w:tblGrid>
      <w:tr w:rsidR="00905A10" w:rsidRPr="00905A10" w14:paraId="27AA9778" w14:textId="77777777" w:rsidTr="00905A10">
        <w:trPr>
          <w:trHeight w:val="420"/>
        </w:trPr>
        <w:tc>
          <w:tcPr>
            <w:tcW w:w="8740" w:type="dxa"/>
            <w:tcBorders>
              <w:top w:val="single" w:sz="4" w:space="0" w:color="auto"/>
              <w:left w:val="single" w:sz="4" w:space="0" w:color="auto"/>
              <w:bottom w:val="single" w:sz="4" w:space="0" w:color="auto"/>
              <w:right w:val="nil"/>
            </w:tcBorders>
            <w:shd w:val="clear" w:color="000000" w:fill="002554"/>
            <w:vAlign w:val="center"/>
            <w:hideMark/>
          </w:tcPr>
          <w:p w14:paraId="7D5292F5" w14:textId="77777777" w:rsidR="00905A10" w:rsidRPr="00905A10" w:rsidRDefault="00905A10" w:rsidP="00905A10">
            <w:pPr>
              <w:spacing w:after="0" w:line="240" w:lineRule="auto"/>
              <w:rPr>
                <w:rFonts w:ascii="Arial" w:eastAsia="Times New Roman" w:hAnsi="Arial" w:cs="Arial"/>
                <w:b/>
                <w:bCs/>
                <w:color w:val="FFFFFF"/>
                <w:lang w:eastAsia="en-GB"/>
              </w:rPr>
            </w:pPr>
            <w:r w:rsidRPr="00905A10">
              <w:rPr>
                <w:rFonts w:ascii="Arial" w:eastAsia="Times New Roman" w:hAnsi="Arial" w:cs="Arial"/>
                <w:b/>
                <w:bCs/>
                <w:color w:val="FFFFFF"/>
                <w:lang w:eastAsia="en-GB"/>
              </w:rPr>
              <w:t> </w:t>
            </w:r>
          </w:p>
        </w:tc>
        <w:tc>
          <w:tcPr>
            <w:tcW w:w="1200" w:type="dxa"/>
            <w:tcBorders>
              <w:top w:val="single" w:sz="4" w:space="0" w:color="auto"/>
              <w:left w:val="nil"/>
              <w:bottom w:val="nil"/>
              <w:right w:val="single" w:sz="4" w:space="0" w:color="auto"/>
            </w:tcBorders>
            <w:shd w:val="clear" w:color="000000" w:fill="002554"/>
            <w:vAlign w:val="center"/>
            <w:hideMark/>
          </w:tcPr>
          <w:p w14:paraId="63DCC626" w14:textId="77777777" w:rsidR="00905A10" w:rsidRPr="00905A10" w:rsidRDefault="00905A10" w:rsidP="00905A10">
            <w:pPr>
              <w:spacing w:after="0" w:line="240" w:lineRule="auto"/>
              <w:jc w:val="right"/>
              <w:rPr>
                <w:rFonts w:ascii="Arial" w:eastAsia="Times New Roman" w:hAnsi="Arial" w:cs="Arial"/>
                <w:b/>
                <w:bCs/>
                <w:color w:val="FFFFFF"/>
                <w:lang w:eastAsia="en-GB"/>
              </w:rPr>
            </w:pPr>
            <w:r w:rsidRPr="00905A10">
              <w:rPr>
                <w:rFonts w:ascii="Arial" w:eastAsia="Times New Roman" w:hAnsi="Arial" w:cs="Arial"/>
                <w:b/>
                <w:bCs/>
                <w:color w:val="FFFFFF"/>
                <w:lang w:eastAsia="en-GB"/>
              </w:rPr>
              <w:t>Total (£M)</w:t>
            </w:r>
          </w:p>
        </w:tc>
      </w:tr>
      <w:tr w:rsidR="00905A10" w:rsidRPr="00905A10" w14:paraId="6B2E3486" w14:textId="77777777" w:rsidTr="00905A10">
        <w:trPr>
          <w:trHeight w:val="450"/>
        </w:trPr>
        <w:tc>
          <w:tcPr>
            <w:tcW w:w="8740" w:type="dxa"/>
            <w:tcBorders>
              <w:top w:val="nil"/>
              <w:left w:val="single" w:sz="4" w:space="0" w:color="auto"/>
              <w:bottom w:val="nil"/>
              <w:right w:val="nil"/>
            </w:tcBorders>
            <w:shd w:val="clear" w:color="auto" w:fill="auto"/>
            <w:vAlign w:val="center"/>
            <w:hideMark/>
          </w:tcPr>
          <w:p w14:paraId="56818D24" w14:textId="77777777" w:rsidR="00905A10" w:rsidRPr="00905A10" w:rsidRDefault="00905A10" w:rsidP="00905A10">
            <w:pPr>
              <w:spacing w:after="0" w:line="240" w:lineRule="auto"/>
              <w:rPr>
                <w:rFonts w:ascii="Arial" w:eastAsia="Times New Roman" w:hAnsi="Arial" w:cs="Arial"/>
                <w:lang w:eastAsia="en-GB"/>
              </w:rPr>
            </w:pPr>
            <w:r w:rsidRPr="00905A10">
              <w:rPr>
                <w:rFonts w:ascii="Arial" w:eastAsia="Times New Roman" w:hAnsi="Arial" w:cs="Arial"/>
                <w:lang w:eastAsia="en-GB"/>
              </w:rPr>
              <w:t>Total income adjusted for TRAC (derived from financial statements for 2018-19)</w:t>
            </w:r>
          </w:p>
        </w:tc>
        <w:tc>
          <w:tcPr>
            <w:tcW w:w="1200" w:type="dxa"/>
            <w:tcBorders>
              <w:top w:val="single" w:sz="4" w:space="0" w:color="auto"/>
              <w:left w:val="nil"/>
              <w:bottom w:val="nil"/>
              <w:right w:val="single" w:sz="4" w:space="0" w:color="auto"/>
            </w:tcBorders>
            <w:shd w:val="clear" w:color="auto" w:fill="auto"/>
            <w:vAlign w:val="center"/>
            <w:hideMark/>
          </w:tcPr>
          <w:p w14:paraId="431080E9" w14:textId="77777777" w:rsidR="00905A10" w:rsidRPr="00905A10" w:rsidRDefault="00905A10" w:rsidP="00905A10">
            <w:pPr>
              <w:spacing w:after="0" w:line="240" w:lineRule="auto"/>
              <w:jc w:val="right"/>
              <w:rPr>
                <w:rFonts w:ascii="Arial" w:eastAsia="Times New Roman" w:hAnsi="Arial" w:cs="Arial"/>
                <w:lang w:eastAsia="en-GB"/>
              </w:rPr>
            </w:pPr>
            <w:r w:rsidRPr="00905A10">
              <w:rPr>
                <w:rFonts w:ascii="Arial" w:eastAsia="Times New Roman" w:hAnsi="Arial" w:cs="Arial"/>
                <w:lang w:eastAsia="en-GB"/>
              </w:rPr>
              <w:t>41,279</w:t>
            </w:r>
          </w:p>
        </w:tc>
      </w:tr>
      <w:tr w:rsidR="00905A10" w:rsidRPr="00905A10" w14:paraId="174D96B5" w14:textId="77777777" w:rsidTr="00905A10">
        <w:trPr>
          <w:trHeight w:val="450"/>
        </w:trPr>
        <w:tc>
          <w:tcPr>
            <w:tcW w:w="8740" w:type="dxa"/>
            <w:tcBorders>
              <w:top w:val="nil"/>
              <w:left w:val="single" w:sz="4" w:space="0" w:color="auto"/>
              <w:bottom w:val="single" w:sz="4" w:space="0" w:color="auto"/>
              <w:right w:val="nil"/>
            </w:tcBorders>
            <w:shd w:val="clear" w:color="auto" w:fill="auto"/>
            <w:vAlign w:val="center"/>
            <w:hideMark/>
          </w:tcPr>
          <w:p w14:paraId="66A1D643" w14:textId="77777777" w:rsidR="00905A10" w:rsidRPr="00905A10" w:rsidRDefault="00905A10" w:rsidP="00905A10">
            <w:pPr>
              <w:spacing w:after="0" w:line="240" w:lineRule="auto"/>
              <w:rPr>
                <w:rFonts w:ascii="Arial" w:eastAsia="Times New Roman" w:hAnsi="Arial" w:cs="Arial"/>
                <w:lang w:eastAsia="en-GB"/>
              </w:rPr>
            </w:pPr>
            <w:r w:rsidRPr="00905A10">
              <w:rPr>
                <w:rFonts w:ascii="Arial" w:eastAsia="Times New Roman" w:hAnsi="Arial" w:cs="Arial"/>
                <w:lang w:eastAsia="en-GB"/>
              </w:rPr>
              <w:t>Total expenditure adjusted for TRAC (derived from financial statements for 2018-19)</w:t>
            </w:r>
          </w:p>
        </w:tc>
        <w:tc>
          <w:tcPr>
            <w:tcW w:w="1200" w:type="dxa"/>
            <w:tcBorders>
              <w:top w:val="nil"/>
              <w:left w:val="nil"/>
              <w:bottom w:val="single" w:sz="4" w:space="0" w:color="auto"/>
              <w:right w:val="single" w:sz="4" w:space="0" w:color="auto"/>
            </w:tcBorders>
            <w:shd w:val="clear" w:color="auto" w:fill="auto"/>
            <w:vAlign w:val="center"/>
            <w:hideMark/>
          </w:tcPr>
          <w:p w14:paraId="69A5C398" w14:textId="77777777" w:rsidR="00905A10" w:rsidRPr="00905A10" w:rsidRDefault="00905A10" w:rsidP="00905A10">
            <w:pPr>
              <w:spacing w:after="0" w:line="240" w:lineRule="auto"/>
              <w:jc w:val="right"/>
              <w:rPr>
                <w:rFonts w:ascii="Arial" w:eastAsia="Times New Roman" w:hAnsi="Arial" w:cs="Arial"/>
                <w:lang w:eastAsia="en-GB"/>
              </w:rPr>
            </w:pPr>
            <w:r w:rsidRPr="00905A10">
              <w:rPr>
                <w:rFonts w:ascii="Arial" w:eastAsia="Times New Roman" w:hAnsi="Arial" w:cs="Arial"/>
                <w:lang w:eastAsia="en-GB"/>
              </w:rPr>
              <w:t>39,380</w:t>
            </w:r>
          </w:p>
        </w:tc>
      </w:tr>
      <w:tr w:rsidR="00905A10" w:rsidRPr="00905A10" w14:paraId="3DC56ED3" w14:textId="77777777" w:rsidTr="00905A10">
        <w:trPr>
          <w:trHeight w:val="450"/>
        </w:trPr>
        <w:tc>
          <w:tcPr>
            <w:tcW w:w="8740" w:type="dxa"/>
            <w:tcBorders>
              <w:top w:val="nil"/>
              <w:left w:val="single" w:sz="4" w:space="0" w:color="auto"/>
              <w:bottom w:val="single" w:sz="4" w:space="0" w:color="auto"/>
              <w:right w:val="nil"/>
            </w:tcBorders>
            <w:shd w:val="clear" w:color="auto" w:fill="auto"/>
            <w:vAlign w:val="center"/>
            <w:hideMark/>
          </w:tcPr>
          <w:p w14:paraId="169B543B" w14:textId="77777777" w:rsidR="00905A10" w:rsidRPr="00905A10" w:rsidRDefault="00905A10" w:rsidP="00905A10">
            <w:pPr>
              <w:spacing w:after="0" w:line="240" w:lineRule="auto"/>
              <w:rPr>
                <w:rFonts w:ascii="Arial" w:eastAsia="Times New Roman" w:hAnsi="Arial" w:cs="Arial"/>
                <w:lang w:eastAsia="en-GB"/>
              </w:rPr>
            </w:pPr>
            <w:r w:rsidRPr="00905A10">
              <w:rPr>
                <w:rFonts w:ascii="Arial" w:eastAsia="Times New Roman" w:hAnsi="Arial" w:cs="Arial"/>
                <w:lang w:eastAsia="en-GB"/>
              </w:rPr>
              <w:t>TRAC-adjusted operating surplus/(deficit)</w:t>
            </w:r>
          </w:p>
        </w:tc>
        <w:tc>
          <w:tcPr>
            <w:tcW w:w="1200" w:type="dxa"/>
            <w:tcBorders>
              <w:top w:val="nil"/>
              <w:left w:val="nil"/>
              <w:bottom w:val="single" w:sz="4" w:space="0" w:color="auto"/>
              <w:right w:val="single" w:sz="4" w:space="0" w:color="auto"/>
            </w:tcBorders>
            <w:shd w:val="clear" w:color="auto" w:fill="auto"/>
            <w:vAlign w:val="center"/>
            <w:hideMark/>
          </w:tcPr>
          <w:p w14:paraId="5FFB10EE" w14:textId="77777777" w:rsidR="00905A10" w:rsidRPr="00905A10" w:rsidRDefault="00905A10" w:rsidP="00905A10">
            <w:pPr>
              <w:spacing w:after="0" w:line="240" w:lineRule="auto"/>
              <w:jc w:val="right"/>
              <w:rPr>
                <w:rFonts w:ascii="Arial" w:eastAsia="Times New Roman" w:hAnsi="Arial" w:cs="Arial"/>
                <w:lang w:eastAsia="en-GB"/>
              </w:rPr>
            </w:pPr>
            <w:r w:rsidRPr="00905A10">
              <w:rPr>
                <w:rFonts w:ascii="Arial" w:eastAsia="Times New Roman" w:hAnsi="Arial" w:cs="Arial"/>
                <w:lang w:eastAsia="en-GB"/>
              </w:rPr>
              <w:t>1,899</w:t>
            </w:r>
          </w:p>
        </w:tc>
      </w:tr>
      <w:tr w:rsidR="00905A10" w:rsidRPr="00905A10" w14:paraId="5BE1F0E2" w14:textId="77777777" w:rsidTr="00905A10">
        <w:trPr>
          <w:trHeight w:val="450"/>
        </w:trPr>
        <w:tc>
          <w:tcPr>
            <w:tcW w:w="8740" w:type="dxa"/>
            <w:tcBorders>
              <w:top w:val="nil"/>
              <w:left w:val="single" w:sz="4" w:space="0" w:color="auto"/>
              <w:bottom w:val="nil"/>
              <w:right w:val="nil"/>
            </w:tcBorders>
            <w:shd w:val="clear" w:color="auto" w:fill="auto"/>
            <w:vAlign w:val="center"/>
            <w:hideMark/>
          </w:tcPr>
          <w:p w14:paraId="5A3971DD" w14:textId="77777777" w:rsidR="00905A10" w:rsidRPr="00905A10" w:rsidRDefault="00905A10" w:rsidP="00905A10">
            <w:pPr>
              <w:spacing w:after="0" w:line="240" w:lineRule="auto"/>
              <w:rPr>
                <w:rFonts w:ascii="Arial" w:eastAsia="Times New Roman" w:hAnsi="Arial" w:cs="Arial"/>
                <w:lang w:eastAsia="en-GB"/>
              </w:rPr>
            </w:pPr>
            <w:r w:rsidRPr="00905A10">
              <w:rPr>
                <w:rFonts w:ascii="Arial" w:eastAsia="Times New Roman" w:hAnsi="Arial" w:cs="Arial"/>
                <w:lang w:eastAsia="en-GB"/>
              </w:rPr>
              <w:t>Sustainability adjustment (EBITDA for MSI)</w:t>
            </w:r>
          </w:p>
        </w:tc>
        <w:tc>
          <w:tcPr>
            <w:tcW w:w="1200" w:type="dxa"/>
            <w:tcBorders>
              <w:top w:val="nil"/>
              <w:left w:val="nil"/>
              <w:bottom w:val="nil"/>
              <w:right w:val="single" w:sz="4" w:space="0" w:color="auto"/>
            </w:tcBorders>
            <w:shd w:val="clear" w:color="auto" w:fill="auto"/>
            <w:vAlign w:val="center"/>
            <w:hideMark/>
          </w:tcPr>
          <w:p w14:paraId="68D203A0" w14:textId="77777777" w:rsidR="00905A10" w:rsidRPr="00905A10" w:rsidRDefault="00905A10" w:rsidP="00905A10">
            <w:pPr>
              <w:spacing w:after="0" w:line="240" w:lineRule="auto"/>
              <w:jc w:val="right"/>
              <w:rPr>
                <w:rFonts w:ascii="Arial" w:eastAsia="Times New Roman" w:hAnsi="Arial" w:cs="Arial"/>
                <w:lang w:eastAsia="en-GB"/>
              </w:rPr>
            </w:pPr>
            <w:r w:rsidRPr="00905A10">
              <w:rPr>
                <w:rFonts w:ascii="Arial" w:eastAsia="Times New Roman" w:hAnsi="Arial" w:cs="Arial"/>
                <w:lang w:eastAsia="en-GB"/>
              </w:rPr>
              <w:t>3,576</w:t>
            </w:r>
          </w:p>
        </w:tc>
      </w:tr>
      <w:tr w:rsidR="00905A10" w:rsidRPr="00905A10" w14:paraId="63498A71" w14:textId="77777777" w:rsidTr="00905A10">
        <w:trPr>
          <w:trHeight w:val="450"/>
        </w:trPr>
        <w:tc>
          <w:tcPr>
            <w:tcW w:w="8740" w:type="dxa"/>
            <w:tcBorders>
              <w:top w:val="single" w:sz="4" w:space="0" w:color="auto"/>
              <w:left w:val="single" w:sz="4" w:space="0" w:color="auto"/>
              <w:bottom w:val="single" w:sz="4" w:space="0" w:color="auto"/>
              <w:right w:val="nil"/>
            </w:tcBorders>
            <w:shd w:val="clear" w:color="auto" w:fill="auto"/>
            <w:vAlign w:val="center"/>
            <w:hideMark/>
          </w:tcPr>
          <w:p w14:paraId="05E2ED30" w14:textId="77777777" w:rsidR="00905A10" w:rsidRPr="00905A10" w:rsidRDefault="00905A10" w:rsidP="00905A10">
            <w:pPr>
              <w:spacing w:after="0" w:line="240" w:lineRule="auto"/>
              <w:rPr>
                <w:rFonts w:ascii="Arial" w:eastAsia="Times New Roman" w:hAnsi="Arial" w:cs="Arial"/>
                <w:lang w:eastAsia="en-GB"/>
              </w:rPr>
            </w:pPr>
            <w:r w:rsidRPr="00905A10">
              <w:rPr>
                <w:rFonts w:ascii="Arial" w:eastAsia="Times New Roman" w:hAnsi="Arial" w:cs="Arial"/>
                <w:lang w:eastAsia="en-GB"/>
              </w:rPr>
              <w:t>Full economic cost (total expenditure plus the sustainability adjustment)</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6DB2112B" w14:textId="77777777" w:rsidR="00905A10" w:rsidRPr="00905A10" w:rsidRDefault="00905A10" w:rsidP="00905A10">
            <w:pPr>
              <w:spacing w:after="0" w:line="240" w:lineRule="auto"/>
              <w:jc w:val="right"/>
              <w:rPr>
                <w:rFonts w:ascii="Arial" w:eastAsia="Times New Roman" w:hAnsi="Arial" w:cs="Arial"/>
                <w:lang w:eastAsia="en-GB"/>
              </w:rPr>
            </w:pPr>
            <w:r w:rsidRPr="00905A10">
              <w:rPr>
                <w:rFonts w:ascii="Arial" w:eastAsia="Times New Roman" w:hAnsi="Arial" w:cs="Arial"/>
                <w:lang w:eastAsia="en-GB"/>
              </w:rPr>
              <w:t>42,956</w:t>
            </w:r>
          </w:p>
        </w:tc>
      </w:tr>
      <w:tr w:rsidR="00905A10" w:rsidRPr="00905A10" w14:paraId="03CC6077" w14:textId="77777777" w:rsidTr="00905A10">
        <w:trPr>
          <w:trHeight w:val="450"/>
        </w:trPr>
        <w:tc>
          <w:tcPr>
            <w:tcW w:w="8740" w:type="dxa"/>
            <w:tcBorders>
              <w:top w:val="nil"/>
              <w:left w:val="single" w:sz="4" w:space="0" w:color="auto"/>
              <w:bottom w:val="single" w:sz="4" w:space="0" w:color="auto"/>
              <w:right w:val="nil"/>
            </w:tcBorders>
            <w:shd w:val="clear" w:color="auto" w:fill="auto"/>
            <w:vAlign w:val="center"/>
            <w:hideMark/>
          </w:tcPr>
          <w:p w14:paraId="1750F994" w14:textId="44F51E03" w:rsidR="00905A10" w:rsidRPr="00905A10" w:rsidRDefault="00905A10" w:rsidP="00905A10">
            <w:pPr>
              <w:spacing w:after="0" w:line="240" w:lineRule="auto"/>
              <w:rPr>
                <w:rFonts w:ascii="Arial" w:eastAsia="Times New Roman" w:hAnsi="Arial" w:cs="Arial"/>
                <w:lang w:eastAsia="en-GB"/>
              </w:rPr>
            </w:pPr>
            <w:r w:rsidRPr="00905A10">
              <w:rPr>
                <w:rFonts w:ascii="Arial" w:eastAsia="Times New Roman" w:hAnsi="Arial" w:cs="Arial"/>
                <w:lang w:eastAsia="en-GB"/>
              </w:rPr>
              <w:t>TRAC surplus/</w:t>
            </w:r>
            <w:r w:rsidR="004B4064">
              <w:rPr>
                <w:rFonts w:ascii="Arial" w:eastAsia="Times New Roman" w:hAnsi="Arial" w:cs="Arial"/>
                <w:lang w:eastAsia="en-GB"/>
              </w:rPr>
              <w:t>(</w:t>
            </w:r>
            <w:r w:rsidRPr="00905A10">
              <w:rPr>
                <w:rFonts w:ascii="Arial" w:eastAsia="Times New Roman" w:hAnsi="Arial" w:cs="Arial"/>
                <w:lang w:eastAsia="en-GB"/>
              </w:rPr>
              <w:t>deficit</w:t>
            </w:r>
            <w:r w:rsidR="004B4064">
              <w:rPr>
                <w:rFonts w:ascii="Arial" w:eastAsia="Times New Roman" w:hAnsi="Arial" w:cs="Arial"/>
                <w:lang w:eastAsia="en-GB"/>
              </w:rPr>
              <w:t>)</w:t>
            </w:r>
          </w:p>
        </w:tc>
        <w:tc>
          <w:tcPr>
            <w:tcW w:w="1200" w:type="dxa"/>
            <w:tcBorders>
              <w:top w:val="nil"/>
              <w:left w:val="nil"/>
              <w:bottom w:val="single" w:sz="4" w:space="0" w:color="auto"/>
              <w:right w:val="single" w:sz="4" w:space="0" w:color="auto"/>
            </w:tcBorders>
            <w:shd w:val="clear" w:color="auto" w:fill="auto"/>
            <w:vAlign w:val="center"/>
            <w:hideMark/>
          </w:tcPr>
          <w:p w14:paraId="18836528" w14:textId="77777777" w:rsidR="00905A10" w:rsidRPr="00905A10" w:rsidRDefault="00905A10" w:rsidP="00905A10">
            <w:pPr>
              <w:spacing w:after="0" w:line="240" w:lineRule="auto"/>
              <w:jc w:val="right"/>
              <w:rPr>
                <w:rFonts w:ascii="Arial" w:eastAsia="Times New Roman" w:hAnsi="Arial" w:cs="Arial"/>
                <w:lang w:eastAsia="en-GB"/>
              </w:rPr>
            </w:pPr>
            <w:r w:rsidRPr="00905A10">
              <w:rPr>
                <w:rFonts w:ascii="Arial" w:eastAsia="Times New Roman" w:hAnsi="Arial" w:cs="Arial"/>
                <w:color w:val="000000"/>
                <w:lang w:eastAsia="en-GB"/>
              </w:rPr>
              <w:t>(1,677)</w:t>
            </w:r>
          </w:p>
        </w:tc>
      </w:tr>
    </w:tbl>
    <w:p w14:paraId="23C30491" w14:textId="1E5A4779" w:rsidR="00141A50" w:rsidRDefault="00141A50" w:rsidP="00530261">
      <w:pPr>
        <w:pStyle w:val="Heading3"/>
      </w:pPr>
    </w:p>
    <w:p w14:paraId="0CBB851D" w14:textId="77777777" w:rsidR="000970C1" w:rsidRPr="009D4FC2" w:rsidRDefault="000970C1" w:rsidP="009D4FC2">
      <w:pPr>
        <w:pStyle w:val="Heading4"/>
      </w:pPr>
      <w:r w:rsidRPr="009D4FC2">
        <w:t>Notes to Table 6</w:t>
      </w:r>
    </w:p>
    <w:p w14:paraId="6E26CA43" w14:textId="0F3972D4" w:rsidR="001739A2" w:rsidRDefault="001739A2" w:rsidP="001739A2">
      <w:pPr>
        <w:pStyle w:val="Numberedtext1"/>
        <w:numPr>
          <w:ilvl w:val="0"/>
          <w:numId w:val="25"/>
        </w:numPr>
      </w:pPr>
      <w:r>
        <w:t xml:space="preserve">The income and expenditure lines as reported in the financial statements are adjusted, where appropriate, in respect of pension costs, gains or losses on disposal of fixed assets, gains or losses on investments, share of surpluses or deficits in joint ventures and associates, taxation </w:t>
      </w:r>
      <w:r w:rsidRPr="00EB417F">
        <w:t>charges or credits and non-controlling interests, in line with the TRAC guidance</w:t>
      </w:r>
      <w:r w:rsidR="00844DAA" w:rsidRPr="00EB417F">
        <w:t xml:space="preserve"> for </w:t>
      </w:r>
      <w:r w:rsidR="00E95D8D" w:rsidRPr="00EB417F">
        <w:t>2018-19</w:t>
      </w:r>
      <w:r w:rsidR="00844DAA" w:rsidRPr="00EB417F">
        <w:t xml:space="preserve"> – Version 2.</w:t>
      </w:r>
      <w:r w:rsidR="00EB417F" w:rsidRPr="00EB417F">
        <w:t>4</w:t>
      </w:r>
      <w:r w:rsidR="00844DAA" w:rsidRPr="00EB417F">
        <w:t xml:space="preserve"> (</w:t>
      </w:r>
      <w:r w:rsidR="00EB417F" w:rsidRPr="00EB417F">
        <w:t>July</w:t>
      </w:r>
      <w:r w:rsidR="00844DAA" w:rsidRPr="00EB417F">
        <w:t xml:space="preserve"> 201</w:t>
      </w:r>
      <w:r w:rsidR="00EB417F" w:rsidRPr="00EB417F">
        <w:t>9</w:t>
      </w:r>
      <w:r w:rsidR="00844DAA" w:rsidRPr="00EB417F">
        <w:t>)</w:t>
      </w:r>
      <w:r w:rsidR="00844DAA">
        <w:t xml:space="preserve"> and Annual TRAC return template (Annex 4.1a)</w:t>
      </w:r>
      <w:r w:rsidR="0081792D">
        <w:t>.</w:t>
      </w:r>
      <w:r>
        <w:rPr>
          <w:rStyle w:val="FootnoteReference"/>
        </w:rPr>
        <w:footnoteReference w:id="11"/>
      </w:r>
    </w:p>
    <w:p w14:paraId="612A5D68" w14:textId="1F4AE209" w:rsidR="001739A2" w:rsidRDefault="001739A2" w:rsidP="001739A2">
      <w:pPr>
        <w:pStyle w:val="Numberedtext1"/>
        <w:numPr>
          <w:ilvl w:val="0"/>
          <w:numId w:val="25"/>
        </w:numPr>
      </w:pPr>
      <w:r>
        <w:t>The sustainability adjustment is defined as ‘earnings before interest, tax, depreciation and amortisation’</w:t>
      </w:r>
      <w:r w:rsidR="00EC1CCA">
        <w:t xml:space="preserve"> (EBITDA)</w:t>
      </w:r>
      <w:r w:rsidR="00916913">
        <w:t>,</w:t>
      </w:r>
      <w:r>
        <w:t xml:space="preserve"> adjusted as defined in the TRAC guidance requirements (section 3.2.4 and template at Annex 3.2a) to provide the ‘margin for sustainability and investment’ (‘EBITDA for MSI’)</w:t>
      </w:r>
      <w:r w:rsidR="0081792D">
        <w:t>.</w:t>
      </w:r>
      <w:r>
        <w:rPr>
          <w:rStyle w:val="FootnoteReference"/>
        </w:rPr>
        <w:footnoteReference w:id="12"/>
      </w:r>
    </w:p>
    <w:p w14:paraId="314E3C5E" w14:textId="77777777" w:rsidR="001739A2" w:rsidRDefault="001739A2" w:rsidP="001739A2">
      <w:pPr>
        <w:pStyle w:val="Numberedtext1"/>
        <w:numPr>
          <w:ilvl w:val="0"/>
          <w:numId w:val="25"/>
        </w:numPr>
      </w:pPr>
      <w:r>
        <w:t>Full economic cost is total expenditure derived from the financial statements, plus the sustainability adjustment.</w:t>
      </w:r>
    </w:p>
    <w:p w14:paraId="4182A978" w14:textId="77777777" w:rsidR="00DD5728" w:rsidRDefault="001739A2" w:rsidP="002953B3">
      <w:pPr>
        <w:pStyle w:val="Numberedtext1"/>
        <w:numPr>
          <w:ilvl w:val="0"/>
          <w:numId w:val="25"/>
        </w:numPr>
      </w:pPr>
      <w:r>
        <w:t>TRAC surplus/(deficit) is the difference between total income and the full economic costs.</w:t>
      </w:r>
      <w:bookmarkStart w:id="15" w:name="_Toc509572619"/>
    </w:p>
    <w:p w14:paraId="29C0FBF3" w14:textId="5ECE4DF2" w:rsidR="0086734B" w:rsidRPr="00D35952" w:rsidRDefault="0086734B" w:rsidP="00DD5728">
      <w:pPr>
        <w:pStyle w:val="Heading1"/>
      </w:pPr>
      <w:bookmarkStart w:id="16" w:name="_Toc42783360"/>
      <w:r w:rsidRPr="00D35952">
        <w:lastRenderedPageBreak/>
        <w:t xml:space="preserve">Annex C: UK peer group summary </w:t>
      </w:r>
      <w:r w:rsidR="00E95D8D">
        <w:t>2018-19</w:t>
      </w:r>
      <w:bookmarkEnd w:id="16"/>
    </w:p>
    <w:p w14:paraId="6B8E53DE" w14:textId="496E754A" w:rsidR="00A65FB9" w:rsidRDefault="00A65FB9" w:rsidP="00662F05">
      <w:pPr>
        <w:pStyle w:val="Numberedtext1"/>
        <w:numPr>
          <w:ilvl w:val="0"/>
          <w:numId w:val="23"/>
        </w:numPr>
        <w:ind w:hanging="357"/>
      </w:pPr>
      <w:r>
        <w:t>Sector peer group summary is provided as an Excel file</w:t>
      </w:r>
      <w:r w:rsidR="000E7D1A">
        <w:t>.</w:t>
      </w:r>
      <w:r w:rsidR="001A4C12">
        <w:rPr>
          <w:rStyle w:val="FootnoteReference"/>
        </w:rPr>
        <w:footnoteReference w:id="13"/>
      </w:r>
      <w:r>
        <w:t xml:space="preserve"> The Excel workbook contains </w:t>
      </w:r>
      <w:r w:rsidR="00137C13">
        <w:t xml:space="preserve">three </w:t>
      </w:r>
      <w:r>
        <w:t>worksheets</w:t>
      </w:r>
      <w:r w:rsidR="00395555">
        <w:t xml:space="preserve"> of data</w:t>
      </w:r>
      <w:r>
        <w:t xml:space="preserve">: </w:t>
      </w:r>
    </w:p>
    <w:p w14:paraId="4E346D80" w14:textId="455D68C9" w:rsidR="00A65FB9" w:rsidRDefault="00A65FB9" w:rsidP="00211297">
      <w:pPr>
        <w:pStyle w:val="ListParagraph"/>
        <w:numPr>
          <w:ilvl w:val="0"/>
          <w:numId w:val="19"/>
        </w:numPr>
        <w:spacing w:after="240" w:line="300" w:lineRule="atLeast"/>
        <w:ind w:left="714" w:hanging="357"/>
        <w:contextualSpacing w:val="0"/>
      </w:pPr>
      <w:r>
        <w:t>Tables 1 and 2 provide analysis of TRAC full economic costs and cost recovery on the main activities, analysed by TRAC peer group</w:t>
      </w:r>
    </w:p>
    <w:p w14:paraId="4C599919" w14:textId="77777777" w:rsidR="00A65FB9" w:rsidRDefault="00A65FB9" w:rsidP="00211297">
      <w:pPr>
        <w:pStyle w:val="ListParagraph"/>
        <w:numPr>
          <w:ilvl w:val="0"/>
          <w:numId w:val="19"/>
        </w:numPr>
        <w:spacing w:after="240" w:line="300" w:lineRule="atLeast"/>
        <w:ind w:left="714" w:hanging="357"/>
        <w:contextualSpacing w:val="0"/>
      </w:pPr>
      <w:r>
        <w:t>Table 3 provides recovery of full economic costs for research, by research sponsor type, analysed by TRAC peer group</w:t>
      </w:r>
    </w:p>
    <w:p w14:paraId="24F8F536" w14:textId="669A0237" w:rsidR="00FA1D51" w:rsidRDefault="00A65FB9" w:rsidP="00211297">
      <w:pPr>
        <w:pStyle w:val="ListParagraph"/>
        <w:numPr>
          <w:ilvl w:val="0"/>
          <w:numId w:val="19"/>
        </w:numPr>
        <w:spacing w:after="240" w:line="300" w:lineRule="atLeast"/>
        <w:ind w:left="714" w:hanging="357"/>
        <w:contextualSpacing w:val="0"/>
      </w:pPr>
      <w:r>
        <w:t>Table 4 provides</w:t>
      </w:r>
      <w:r w:rsidR="00A171A1">
        <w:t xml:space="preserve"> analysis of the sustainability adjustment and TRAC surplus/(deficit).</w:t>
      </w:r>
    </w:p>
    <w:p w14:paraId="2AAE7D23" w14:textId="3C5802B9" w:rsidR="00A65FB9" w:rsidRPr="009D4FC2" w:rsidRDefault="00FA1D51" w:rsidP="0080510C">
      <w:pPr>
        <w:pStyle w:val="Heading2"/>
      </w:pPr>
      <w:bookmarkStart w:id="17" w:name="_Toc42783361"/>
      <w:r w:rsidRPr="009D4FC2">
        <w:t>Analysis by TRAC peer group: methodology</w:t>
      </w:r>
      <w:bookmarkEnd w:id="17"/>
      <w:r w:rsidRPr="009D4FC2">
        <w:t xml:space="preserve"> </w:t>
      </w:r>
    </w:p>
    <w:bookmarkEnd w:id="15"/>
    <w:p w14:paraId="1E4C3788" w14:textId="4340E569" w:rsidR="006E40C8" w:rsidRPr="00BF01B0" w:rsidRDefault="006E40C8" w:rsidP="006E40C8">
      <w:pPr>
        <w:pStyle w:val="Numberedtext1"/>
      </w:pPr>
      <w:r w:rsidRPr="00BF01B0">
        <w:t>The worksheet</w:t>
      </w:r>
      <w:r w:rsidR="002953B3">
        <w:t>s provide summary data (average</w:t>
      </w:r>
      <w:r w:rsidR="00A04F92">
        <w:t>s</w:t>
      </w:r>
      <w:r w:rsidR="002953B3">
        <w:t xml:space="preserve">, </w:t>
      </w:r>
      <w:proofErr w:type="gramStart"/>
      <w:r w:rsidR="002953B3">
        <w:t>median</w:t>
      </w:r>
      <w:r w:rsidR="00A04F92">
        <w:t>s</w:t>
      </w:r>
      <w:proofErr w:type="gramEnd"/>
      <w:r w:rsidRPr="00BF01B0">
        <w:t xml:space="preserve"> and quartiles) for the UK sector and each of the TRAC peer groups (</w:t>
      </w:r>
      <w:r w:rsidR="00595196">
        <w:t>g</w:t>
      </w:r>
      <w:r w:rsidRPr="00BF01B0">
        <w:t xml:space="preserve">roups A to F), including charts. </w:t>
      </w:r>
    </w:p>
    <w:p w14:paraId="7635A76D" w14:textId="13B1BC71" w:rsidR="006E40C8" w:rsidRPr="00BF01B0" w:rsidRDefault="003B76F4">
      <w:pPr>
        <w:pStyle w:val="Numberedtext1"/>
      </w:pPr>
      <w:r>
        <w:t>Higher education institutions</w:t>
      </w:r>
      <w:r w:rsidRPr="00BF01B0">
        <w:t xml:space="preserve"> </w:t>
      </w:r>
      <w:r w:rsidR="006E40C8" w:rsidRPr="00BF01B0">
        <w:t>have been allocated to TRAC peer groups</w:t>
      </w:r>
      <w:r w:rsidR="006E40C8" w:rsidRPr="00BF01B0">
        <w:rPr>
          <w:rStyle w:val="FootnoteReference"/>
        </w:rPr>
        <w:footnoteReference w:id="14"/>
      </w:r>
      <w:r w:rsidR="006E40C8" w:rsidRPr="00BF01B0">
        <w:t xml:space="preserve"> based on levels of research income</w:t>
      </w:r>
      <w:r w:rsidR="00CF1212">
        <w:t>,</w:t>
      </w:r>
      <w:r w:rsidR="00537A9B">
        <w:t xml:space="preserve"> </w:t>
      </w:r>
      <w:r w:rsidR="00897A29">
        <w:t xml:space="preserve">overall total income, </w:t>
      </w:r>
      <w:r w:rsidR="00537A9B">
        <w:t>having a medical school</w:t>
      </w:r>
      <w:r w:rsidR="006E40C8" w:rsidRPr="00BF01B0">
        <w:t>, or specialism in music or the arts.</w:t>
      </w:r>
      <w:r w:rsidR="00FF41DB">
        <w:t xml:space="preserve"> TRAC peer groups </w:t>
      </w:r>
      <w:r w:rsidR="004B11E3">
        <w:t xml:space="preserve">are </w:t>
      </w:r>
      <w:r w:rsidR="00F70680">
        <w:t xml:space="preserve">set for </w:t>
      </w:r>
      <w:proofErr w:type="gramStart"/>
      <w:r w:rsidR="00F70680">
        <w:t>a number of</w:t>
      </w:r>
      <w:proofErr w:type="gramEnd"/>
      <w:r w:rsidR="00F70680">
        <w:t xml:space="preserve"> years</w:t>
      </w:r>
      <w:r w:rsidR="001272DF">
        <w:t xml:space="preserve"> in order to maintain a stable group for comparison</w:t>
      </w:r>
      <w:r w:rsidR="00787895">
        <w:t>, and so are not updated annually</w:t>
      </w:r>
      <w:r w:rsidR="001272DF">
        <w:t xml:space="preserve">. </w:t>
      </w:r>
      <w:r w:rsidR="008A62A8">
        <w:t>They</w:t>
      </w:r>
      <w:r w:rsidR="001272DF">
        <w:t xml:space="preserve"> will </w:t>
      </w:r>
      <w:r w:rsidR="006E7A00">
        <w:t>next</w:t>
      </w:r>
      <w:r w:rsidR="00F84B56">
        <w:t xml:space="preserve"> be updated for 2019-20 TRAC reporting.</w:t>
      </w:r>
    </w:p>
    <w:p w14:paraId="0364FB69" w14:textId="2497096E" w:rsidR="006E40C8" w:rsidRPr="00BF01B0" w:rsidRDefault="006E40C8" w:rsidP="006E40C8">
      <w:pPr>
        <w:pStyle w:val="Numberedtext1"/>
      </w:pPr>
      <w:r w:rsidRPr="00BF01B0">
        <w:t xml:space="preserve">When considering the analysis in the </w:t>
      </w:r>
      <w:r w:rsidR="00C63561">
        <w:t>peer group tables</w:t>
      </w:r>
      <w:r w:rsidRPr="00BF01B0">
        <w:t>, the number of institutions with data in each peer group should be taken into consideration; these are shown at the top of each table.</w:t>
      </w:r>
    </w:p>
    <w:p w14:paraId="27E19E93" w14:textId="5C8C465F" w:rsidR="006E40C8" w:rsidRDefault="006E40C8" w:rsidP="006E40C8">
      <w:pPr>
        <w:pStyle w:val="Numberedtext1"/>
      </w:pPr>
      <w:r w:rsidRPr="00D03390">
        <w:t xml:space="preserve">In all tables, the </w:t>
      </w:r>
      <w:r>
        <w:t>‘</w:t>
      </w:r>
      <w:r w:rsidRPr="00D03390">
        <w:t xml:space="preserve">UK </w:t>
      </w:r>
      <w:r>
        <w:t>s</w:t>
      </w:r>
      <w:r w:rsidRPr="00D03390">
        <w:t>ector</w:t>
      </w:r>
      <w:r>
        <w:t>’</w:t>
      </w:r>
      <w:r w:rsidRPr="00D03390">
        <w:t xml:space="preserve"> </w:t>
      </w:r>
      <w:r w:rsidR="00192BA9">
        <w:t xml:space="preserve">has been split into </w:t>
      </w:r>
      <w:r w:rsidR="00470EE2">
        <w:t>three categories: All institutions; those</w:t>
      </w:r>
      <w:r w:rsidR="00470EE2" w:rsidRPr="00470EE2">
        <w:t xml:space="preserve"> not applying dispensation; and those applying dispensation. For individual peer groups, all institutions are included, whether dispensation has been applied or not. This is a change from 2017-18 (and earlier) TRAC analysis, where the data shown for 'UK </w:t>
      </w:r>
      <w:r w:rsidR="00F14E5E">
        <w:t>s</w:t>
      </w:r>
      <w:r w:rsidR="00470EE2" w:rsidRPr="00470EE2">
        <w:t xml:space="preserve">ector' and individual peer groups excluded institutions </w:t>
      </w:r>
      <w:r w:rsidR="00AB21A6">
        <w:t>that</w:t>
      </w:r>
      <w:r w:rsidR="00470EE2" w:rsidRPr="00470EE2">
        <w:t xml:space="preserve"> applied dispensation.</w:t>
      </w:r>
    </w:p>
    <w:p w14:paraId="2BB37DD8" w14:textId="77777777" w:rsidR="00631578" w:rsidRDefault="00631578" w:rsidP="008B0C6B"/>
    <w:p w14:paraId="1FEFA462" w14:textId="77777777" w:rsidR="00631578" w:rsidRDefault="00631578" w:rsidP="008B0C6B"/>
    <w:p w14:paraId="47820012" w14:textId="77777777" w:rsidR="00631578" w:rsidRDefault="00631578" w:rsidP="008B0C6B"/>
    <w:p w14:paraId="61497C6B" w14:textId="77777777" w:rsidR="00631578" w:rsidRDefault="00631578" w:rsidP="008B0C6B"/>
    <w:p w14:paraId="5B36F275" w14:textId="77777777" w:rsidR="00631578" w:rsidRDefault="00631578" w:rsidP="008B0C6B">
      <w:pPr>
        <w:sectPr w:rsidR="00631578" w:rsidSect="008B0C6B">
          <w:footerReference w:type="default" r:id="rId26"/>
          <w:pgSz w:w="11906" w:h="16838" w:code="9"/>
          <w:pgMar w:top="1134" w:right="1134" w:bottom="1134" w:left="1134" w:header="454" w:footer="454" w:gutter="0"/>
          <w:cols w:space="708"/>
          <w:titlePg/>
          <w:docGrid w:linePitch="360"/>
        </w:sectPr>
      </w:pPr>
    </w:p>
    <w:p w14:paraId="736D4745" w14:textId="77777777" w:rsidR="003528BB" w:rsidRDefault="003528BB" w:rsidP="008B0C6B"/>
    <w:p w14:paraId="2D078D07" w14:textId="77777777" w:rsidR="00531B3A" w:rsidRDefault="00531B3A" w:rsidP="008B0C6B"/>
    <w:p w14:paraId="15BA23CE" w14:textId="77777777" w:rsidR="00531B3A" w:rsidRDefault="00531B3A" w:rsidP="008B0C6B"/>
    <w:p w14:paraId="20FC5CA5" w14:textId="77777777" w:rsidR="00531B3A" w:rsidRDefault="00531B3A" w:rsidP="008B0C6B"/>
    <w:p w14:paraId="0C7AF25F" w14:textId="77777777" w:rsidR="00531B3A" w:rsidRDefault="00531B3A" w:rsidP="008B0C6B"/>
    <w:p w14:paraId="63B0E47A" w14:textId="77777777" w:rsidR="00531B3A" w:rsidRDefault="00531B3A" w:rsidP="008B0C6B"/>
    <w:p w14:paraId="1439FE7B" w14:textId="77777777" w:rsidR="00531B3A" w:rsidRDefault="00531B3A" w:rsidP="008B0C6B"/>
    <w:p w14:paraId="0FE46637" w14:textId="77777777" w:rsidR="00531B3A" w:rsidRDefault="00531B3A" w:rsidP="008B0C6B"/>
    <w:p w14:paraId="483201EE" w14:textId="77777777" w:rsidR="00531B3A" w:rsidRDefault="00531B3A" w:rsidP="008B0C6B"/>
    <w:p w14:paraId="4180D8E9" w14:textId="77777777" w:rsidR="00531B3A" w:rsidRDefault="00531B3A" w:rsidP="008B0C6B"/>
    <w:p w14:paraId="070E2722" w14:textId="77777777" w:rsidR="00531B3A" w:rsidRDefault="00531B3A" w:rsidP="008B0C6B"/>
    <w:p w14:paraId="44FFF794" w14:textId="77777777" w:rsidR="00531B3A" w:rsidRDefault="00531B3A" w:rsidP="008B0C6B"/>
    <w:p w14:paraId="2AC9B365" w14:textId="77777777" w:rsidR="00531B3A" w:rsidRDefault="00531B3A" w:rsidP="008B0C6B"/>
    <w:p w14:paraId="16F4003D" w14:textId="77777777" w:rsidR="00531B3A" w:rsidRDefault="00531B3A" w:rsidP="008B0C6B"/>
    <w:p w14:paraId="29B9CFC5" w14:textId="77777777" w:rsidR="00531B3A" w:rsidRDefault="00531B3A" w:rsidP="008B0C6B"/>
    <w:p w14:paraId="58648777" w14:textId="77777777" w:rsidR="00531B3A" w:rsidRDefault="00531B3A" w:rsidP="008B0C6B"/>
    <w:p w14:paraId="23ADC456" w14:textId="77777777" w:rsidR="00531B3A" w:rsidRDefault="00531B3A" w:rsidP="008B0C6B"/>
    <w:p w14:paraId="5C51E47E" w14:textId="77777777" w:rsidR="00531B3A" w:rsidRDefault="00531B3A" w:rsidP="008B0C6B"/>
    <w:p w14:paraId="4CB79A07" w14:textId="77777777" w:rsidR="00531B3A" w:rsidRDefault="00531B3A" w:rsidP="008B0C6B"/>
    <w:p w14:paraId="3A9CD9BB" w14:textId="77777777" w:rsidR="00531B3A" w:rsidRDefault="00531B3A" w:rsidP="008B0C6B"/>
    <w:p w14:paraId="2E59B6F2" w14:textId="77777777" w:rsidR="00531B3A" w:rsidRDefault="00531B3A" w:rsidP="008B0C6B"/>
    <w:p w14:paraId="79FF8958" w14:textId="77777777" w:rsidR="00531B3A" w:rsidRDefault="00531B3A" w:rsidP="008B0C6B"/>
    <w:p w14:paraId="5B44F40C" w14:textId="77777777" w:rsidR="00531B3A" w:rsidRDefault="00531B3A" w:rsidP="00882C20"/>
    <w:p w14:paraId="7F534C98" w14:textId="77777777" w:rsidR="00531B3A" w:rsidRDefault="00531B3A" w:rsidP="008B0C6B"/>
    <w:p w14:paraId="6FDBB291" w14:textId="77777777" w:rsidR="00531B3A" w:rsidRDefault="00531B3A" w:rsidP="008B0C6B"/>
    <w:p w14:paraId="5A5E4CD3" w14:textId="77777777" w:rsidR="00531B3A" w:rsidRDefault="00531B3A" w:rsidP="008B0C6B"/>
    <w:p w14:paraId="6EB62712" w14:textId="77777777" w:rsidR="00531B3A" w:rsidRDefault="00517F83" w:rsidP="008B0C6B">
      <w:r>
        <w:rPr>
          <w:noProof/>
          <w:color w:val="2B579A"/>
          <w:shd w:val="clear" w:color="auto" w:fill="E6E6E6"/>
          <w:lang w:eastAsia="en-GB"/>
        </w:rPr>
        <w:drawing>
          <wp:inline distT="0" distB="0" distL="0" distR="0" wp14:anchorId="2C5732DC" wp14:editId="26401076">
            <wp:extent cx="647700" cy="261366"/>
            <wp:effectExtent l="0" t="0" r="0" b="5715"/>
            <wp:docPr id="8" name="Picture 8" descr="Open Government Licence (OG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Open Government Licence (OGL) logo"/>
                    <pic:cNvPicPr/>
                  </pic:nvPicPr>
                  <pic:blipFill>
                    <a:blip r:embed="rId27" cstate="print">
                      <a:extLst>
                        <a:ext uri="{28A0092B-C50C-407E-A947-70E740481C1C}">
                          <a14:useLocalDpi xmlns:a14="http://schemas.microsoft.com/office/drawing/2010/main"/>
                        </a:ext>
                      </a:extLst>
                    </a:blip>
                    <a:stretch>
                      <a:fillRect/>
                    </a:stretch>
                  </pic:blipFill>
                  <pic:spPr>
                    <a:xfrm>
                      <a:off x="0" y="0"/>
                      <a:ext cx="647700" cy="261366"/>
                    </a:xfrm>
                    <a:prstGeom prst="rect">
                      <a:avLst/>
                    </a:prstGeom>
                  </pic:spPr>
                </pic:pic>
              </a:graphicData>
            </a:graphic>
          </wp:inline>
        </w:drawing>
      </w:r>
    </w:p>
    <w:p w14:paraId="5D05D75F" w14:textId="7DB0A64A" w:rsidR="00531B3A" w:rsidRPr="00517F83" w:rsidRDefault="00531B3A" w:rsidP="00531B3A">
      <w:pPr>
        <w:rPr>
          <w:color w:val="002554" w:themeColor="text2"/>
        </w:rPr>
      </w:pPr>
      <w:r w:rsidRPr="00517F83">
        <w:rPr>
          <w:color w:val="002554" w:themeColor="text2"/>
        </w:rPr>
        <w:t>© The Of</w:t>
      </w:r>
      <w:r w:rsidR="002B6FEB">
        <w:rPr>
          <w:color w:val="002554" w:themeColor="text2"/>
        </w:rPr>
        <w:t>fice for Students copyright 20</w:t>
      </w:r>
      <w:r w:rsidR="009012A9">
        <w:rPr>
          <w:color w:val="002554" w:themeColor="text2"/>
        </w:rPr>
        <w:t>20</w:t>
      </w:r>
    </w:p>
    <w:p w14:paraId="44243ED7" w14:textId="77777777" w:rsidR="002B6FEB" w:rsidRDefault="002B6FEB" w:rsidP="00531B3A">
      <w:pPr>
        <w:rPr>
          <w:color w:val="002554" w:themeColor="text2"/>
        </w:rPr>
      </w:pPr>
      <w:r w:rsidRPr="002B6FEB">
        <w:rPr>
          <w:color w:val="002554" w:themeColor="text2"/>
        </w:rPr>
        <w:t>This publication is available under the Open Government Licence 3.0 except where it indicates that the copyright for images or text is owned elsewhere.</w:t>
      </w:r>
    </w:p>
    <w:p w14:paraId="3D8B8417" w14:textId="58932B52" w:rsidR="008B0C6B" w:rsidRPr="00517F83" w:rsidRDefault="00531B3A" w:rsidP="00531B3A">
      <w:pPr>
        <w:rPr>
          <w:color w:val="002554" w:themeColor="text2"/>
        </w:rPr>
      </w:pPr>
      <w:r w:rsidRPr="00517F83">
        <w:rPr>
          <w:color w:val="002554" w:themeColor="text2"/>
        </w:rPr>
        <w:t>www.nationalarchives.gov.uk/doc/open-government-licence/version/3/</w:t>
      </w:r>
    </w:p>
    <w:sectPr w:rsidR="008B0C6B" w:rsidRPr="00517F83" w:rsidSect="003528BB">
      <w:headerReference w:type="default" r:id="rId28"/>
      <w:footerReference w:type="default" r:id="rId29"/>
      <w:pgSz w:w="11906" w:h="16838" w:code="9"/>
      <w:pgMar w:top="1134" w:right="1134" w:bottom="1134"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AC1AB" w14:textId="77777777" w:rsidR="007441F0" w:rsidRDefault="007441F0" w:rsidP="007906A2">
      <w:pPr>
        <w:spacing w:after="0" w:line="240" w:lineRule="auto"/>
      </w:pPr>
      <w:r>
        <w:separator/>
      </w:r>
    </w:p>
  </w:endnote>
  <w:endnote w:type="continuationSeparator" w:id="0">
    <w:p w14:paraId="64B9E684" w14:textId="77777777" w:rsidR="007441F0" w:rsidRDefault="007441F0" w:rsidP="007906A2">
      <w:pPr>
        <w:spacing w:after="0" w:line="240" w:lineRule="auto"/>
      </w:pPr>
      <w:r>
        <w:continuationSeparator/>
      </w:r>
    </w:p>
  </w:endnote>
  <w:endnote w:type="continuationNotice" w:id="1">
    <w:p w14:paraId="3D8CA676" w14:textId="77777777" w:rsidR="007441F0" w:rsidRDefault="007441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E8609" w14:textId="77777777" w:rsidR="005B13D5" w:rsidRPr="000D5586" w:rsidRDefault="005B13D5" w:rsidP="00073EB6">
    <w:pPr>
      <w:pStyle w:val="Footer"/>
      <w:tabs>
        <w:tab w:val="left" w:pos="6585"/>
        <w:tab w:val="right" w:pos="9638"/>
      </w:tabs>
      <w:jc w:val="left"/>
    </w:pPr>
    <w:r>
      <w:tab/>
    </w:r>
    <w:r>
      <w:tab/>
    </w:r>
    <w:r>
      <w:tab/>
    </w:r>
    <w:r>
      <w:tab/>
    </w:r>
    <w:r w:rsidRPr="000D5586">
      <w:rPr>
        <w:color w:val="2B579A"/>
        <w:shd w:val="clear" w:color="auto" w:fill="E6E6E6"/>
      </w:rPr>
      <w:fldChar w:fldCharType="begin"/>
    </w:r>
    <w:r w:rsidRPr="000D5586">
      <w:instrText xml:space="preserve"> PAGE   \* MERGEFORMAT </w:instrText>
    </w:r>
    <w:r w:rsidRPr="000D5586">
      <w:rPr>
        <w:color w:val="2B579A"/>
        <w:shd w:val="clear" w:color="auto" w:fill="E6E6E6"/>
      </w:rPr>
      <w:fldChar w:fldCharType="separate"/>
    </w:r>
    <w:r>
      <w:rPr>
        <w:noProof/>
      </w:rPr>
      <w:t>13</w:t>
    </w:r>
    <w:r w:rsidRPr="000D5586">
      <w:rPr>
        <w:color w:val="2B579A"/>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189DC" w14:textId="5BA0E87F" w:rsidR="005B13D5" w:rsidRDefault="005B13D5">
    <w:pPr>
      <w:pStyle w:val="Footer"/>
    </w:pPr>
  </w:p>
  <w:p w14:paraId="56B28AD9" w14:textId="77777777" w:rsidR="005B13D5" w:rsidRDefault="005B13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6902861"/>
      <w:docPartObj>
        <w:docPartGallery w:val="Page Numbers (Bottom of Page)"/>
        <w:docPartUnique/>
      </w:docPartObj>
    </w:sdtPr>
    <w:sdtEndPr>
      <w:rPr>
        <w:noProof/>
      </w:rPr>
    </w:sdtEndPr>
    <w:sdtContent>
      <w:p w14:paraId="6D4DBE84" w14:textId="77777777" w:rsidR="005B13D5" w:rsidRDefault="005B13D5">
        <w:pPr>
          <w:pStyle w:val="Foo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16</w:t>
        </w:r>
        <w:r>
          <w:rPr>
            <w:color w:val="2B579A"/>
            <w:shd w:val="clear" w:color="auto" w:fill="E6E6E6"/>
          </w:rPr>
          <w:fldChar w:fldCharType="end"/>
        </w:r>
      </w:p>
    </w:sdtContent>
  </w:sdt>
  <w:p w14:paraId="5A92B295" w14:textId="77777777" w:rsidR="005B13D5" w:rsidRDefault="005B13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4392B" w14:textId="77777777" w:rsidR="005B13D5" w:rsidRPr="000D5586" w:rsidRDefault="005B13D5" w:rsidP="00073EB6">
    <w:pPr>
      <w:pStyle w:val="Footer"/>
      <w:tabs>
        <w:tab w:val="left" w:pos="6585"/>
        <w:tab w:val="right" w:pos="9638"/>
      </w:tabs>
      <w:jc w:val="left"/>
    </w:pPr>
    <w:r>
      <w:tab/>
    </w:r>
    <w:r>
      <w:tab/>
    </w:r>
    <w:r>
      <w:tab/>
    </w:r>
    <w:r>
      <w:tab/>
    </w:r>
    <w:r w:rsidRPr="000D5586">
      <w:rPr>
        <w:color w:val="2B579A"/>
        <w:shd w:val="clear" w:color="auto" w:fill="E6E6E6"/>
      </w:rPr>
      <w:fldChar w:fldCharType="begin"/>
    </w:r>
    <w:r w:rsidRPr="000D5586">
      <w:instrText xml:space="preserve"> PAGE   \* MERGEFORMAT </w:instrText>
    </w:r>
    <w:r w:rsidRPr="000D5586">
      <w:rPr>
        <w:color w:val="2B579A"/>
        <w:shd w:val="clear" w:color="auto" w:fill="E6E6E6"/>
      </w:rPr>
      <w:fldChar w:fldCharType="separate"/>
    </w:r>
    <w:r>
      <w:rPr>
        <w:noProof/>
      </w:rPr>
      <w:t>18</w:t>
    </w:r>
    <w:r w:rsidRPr="000D5586">
      <w:rPr>
        <w:color w:val="2B579A"/>
        <w:shd w:val="clear" w:color="auto" w:fill="E6E6E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DD8BC" w14:textId="77777777" w:rsidR="005B13D5" w:rsidRPr="003528BB" w:rsidRDefault="005B13D5" w:rsidP="003528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A03CD" w14:textId="77777777" w:rsidR="007441F0" w:rsidRDefault="007441F0" w:rsidP="007906A2">
      <w:pPr>
        <w:spacing w:after="0" w:line="240" w:lineRule="auto"/>
      </w:pPr>
      <w:r>
        <w:separator/>
      </w:r>
    </w:p>
  </w:footnote>
  <w:footnote w:type="continuationSeparator" w:id="0">
    <w:p w14:paraId="2B0E6591" w14:textId="77777777" w:rsidR="007441F0" w:rsidRDefault="007441F0" w:rsidP="007906A2">
      <w:pPr>
        <w:spacing w:after="0" w:line="240" w:lineRule="auto"/>
      </w:pPr>
      <w:r>
        <w:continuationSeparator/>
      </w:r>
    </w:p>
  </w:footnote>
  <w:footnote w:type="continuationNotice" w:id="1">
    <w:p w14:paraId="6072E28C" w14:textId="77777777" w:rsidR="007441F0" w:rsidRDefault="007441F0">
      <w:pPr>
        <w:spacing w:after="0" w:line="240" w:lineRule="auto"/>
      </w:pPr>
    </w:p>
  </w:footnote>
  <w:footnote w:id="2">
    <w:p w14:paraId="01273434" w14:textId="631110E1" w:rsidR="005B13D5" w:rsidRDefault="005B13D5">
      <w:pPr>
        <w:pStyle w:val="FootnoteText"/>
      </w:pPr>
      <w:r>
        <w:rPr>
          <w:rStyle w:val="FootnoteReference"/>
        </w:rPr>
        <w:footnoteRef/>
      </w:r>
      <w:r>
        <w:t xml:space="preserve"> </w:t>
      </w:r>
      <w:r w:rsidRPr="00B24B5F">
        <w:t xml:space="preserve">For the purposes of this publication, higher education institutions are those institutions that were previously funded by the Higher Education Funding Council for England (HEFCE) and were required to submit annual TRAC returns </w:t>
      </w:r>
      <w:r>
        <w:t xml:space="preserve">to the Office for Students </w:t>
      </w:r>
      <w:r w:rsidRPr="00B24B5F">
        <w:t>for 2018-19; and higher education institutions funded by the Scottish Funding Council</w:t>
      </w:r>
      <w:r>
        <w:t xml:space="preserve"> (SFC)</w:t>
      </w:r>
      <w:r w:rsidRPr="00B24B5F">
        <w:t>, Higher Education Funding Council for Wales</w:t>
      </w:r>
      <w:r>
        <w:t xml:space="preserve"> (HEFCW)</w:t>
      </w:r>
      <w:r w:rsidRPr="00B24B5F">
        <w:t xml:space="preserve"> and the Department for the Economy (Northern Ireland).</w:t>
      </w:r>
    </w:p>
  </w:footnote>
  <w:footnote w:id="3">
    <w:p w14:paraId="580A5361" w14:textId="22EE04AC" w:rsidR="005B13D5" w:rsidRPr="003F2F03" w:rsidRDefault="005B13D5" w:rsidP="00894CCB">
      <w:pPr>
        <w:pStyle w:val="FootnoteText"/>
        <w:spacing w:line="180" w:lineRule="atLeast"/>
      </w:pPr>
      <w:r w:rsidRPr="003F2F03">
        <w:rPr>
          <w:rStyle w:val="FootnoteReference"/>
        </w:rPr>
        <w:footnoteRef/>
      </w:r>
      <w:r w:rsidRPr="003F2F03">
        <w:t xml:space="preserve"> The analysis is based </w:t>
      </w:r>
      <w:r w:rsidRPr="00D62A78">
        <w:t>on</w:t>
      </w:r>
      <w:r w:rsidR="00B61662">
        <w:t>:</w:t>
      </w:r>
      <w:r w:rsidRPr="00D62A78">
        <w:t xml:space="preserve"> 133 higher</w:t>
      </w:r>
      <w:r>
        <w:t xml:space="preserve"> education institutions that </w:t>
      </w:r>
      <w:r w:rsidRPr="006B22DB">
        <w:t xml:space="preserve">were </w:t>
      </w:r>
      <w:r w:rsidRPr="00F62E76">
        <w:t>previously funded by HEFCE in 2017-18 and are now funded by the Office for Students</w:t>
      </w:r>
      <w:r w:rsidR="00E16703">
        <w:t>, and</w:t>
      </w:r>
      <w:r w:rsidR="005C1CA6" w:rsidRPr="006B22DB">
        <w:t xml:space="preserve"> one </w:t>
      </w:r>
      <w:r w:rsidR="001B6EB7" w:rsidRPr="006B22DB">
        <w:t>provider that implemente</w:t>
      </w:r>
      <w:r w:rsidR="00FB3273" w:rsidRPr="006B22DB">
        <w:t xml:space="preserve">d TRAC </w:t>
      </w:r>
      <w:r w:rsidR="00EA1BE8" w:rsidRPr="006B22DB">
        <w:t>for 2018-19</w:t>
      </w:r>
      <w:r w:rsidR="006B22DB" w:rsidRPr="006B22DB">
        <w:t xml:space="preserve"> reporting;</w:t>
      </w:r>
      <w:r w:rsidRPr="006B22DB">
        <w:t xml:space="preserve"> and two higher education institutions funded by the Department</w:t>
      </w:r>
      <w:r w:rsidRPr="003F2F03">
        <w:t xml:space="preserve"> for the Economy, Northern Ireland</w:t>
      </w:r>
      <w:r w:rsidRPr="006B22DB">
        <w:t xml:space="preserve">.  </w:t>
      </w:r>
    </w:p>
  </w:footnote>
  <w:footnote w:id="4">
    <w:p w14:paraId="540F52D7" w14:textId="5E40E5DB" w:rsidR="005B13D5" w:rsidRPr="003D1502" w:rsidRDefault="005B13D5">
      <w:pPr>
        <w:pStyle w:val="FootnoteText"/>
        <w:rPr>
          <w:color w:val="FF0000"/>
        </w:rPr>
      </w:pPr>
      <w:r>
        <w:rPr>
          <w:rStyle w:val="FootnoteReference"/>
        </w:rPr>
        <w:footnoteRef/>
      </w:r>
      <w:r>
        <w:t xml:space="preserve"> Available at: </w:t>
      </w:r>
      <w:hyperlink r:id="rId1" w:history="1">
        <w:r w:rsidR="00F43343">
          <w:rPr>
            <w:rStyle w:val="Hyperlink"/>
          </w:rPr>
          <w:t>www.officeforstudents.org.uk/data-and-analysis/trac-data/published-data-2018-19/</w:t>
        </w:r>
      </w:hyperlink>
      <w:r w:rsidR="005A0A84">
        <w:t>.</w:t>
      </w:r>
    </w:p>
  </w:footnote>
  <w:footnote w:id="5">
    <w:p w14:paraId="1F2D9BB0" w14:textId="77777777" w:rsidR="005B13D5" w:rsidRDefault="005B13D5">
      <w:pPr>
        <w:pStyle w:val="FootnoteText"/>
      </w:pPr>
      <w:r>
        <w:rPr>
          <w:rStyle w:val="FootnoteReference"/>
        </w:rPr>
        <w:footnoteRef/>
      </w:r>
      <w:r>
        <w:t xml:space="preserve"> TRAC full economic costs comprise the total expenditure from audited financial statements plus the sustainability adjustment: the margin for sustainability and investment (MSI).</w:t>
      </w:r>
    </w:p>
  </w:footnote>
  <w:footnote w:id="6">
    <w:p w14:paraId="535D58A5" w14:textId="5092D814" w:rsidR="0021725B" w:rsidRDefault="0021725B">
      <w:pPr>
        <w:pStyle w:val="FootnoteText"/>
      </w:pPr>
      <w:r>
        <w:rPr>
          <w:rStyle w:val="FootnoteReference"/>
        </w:rPr>
        <w:footnoteRef/>
      </w:r>
      <w:r>
        <w:t xml:space="preserve"> </w:t>
      </w:r>
      <w:r w:rsidR="00A16FFF">
        <w:t xml:space="preserve">The TRAC methodology </w:t>
      </w:r>
      <w:r w:rsidR="0087087D">
        <w:t xml:space="preserve">makes adjustment to exclude the </w:t>
      </w:r>
      <w:r w:rsidR="00560A16" w:rsidRPr="005853B2">
        <w:rPr>
          <w:rFonts w:ascii="Arial" w:eastAsia="Times New Roman" w:hAnsi="Arial" w:cs="Arial"/>
          <w:lang w:eastAsia="en-GB"/>
        </w:rPr>
        <w:t>costs or credits attributable to the agreement of a deficit recovery plan for certain specific multi-employer defined benefit pension schemes, including the Universities Superannuation Scheme (USS)</w:t>
      </w:r>
      <w:r w:rsidR="00B458CC">
        <w:rPr>
          <w:rFonts w:ascii="Arial" w:eastAsia="Times New Roman" w:hAnsi="Arial" w:cs="Arial"/>
          <w:lang w:eastAsia="en-GB"/>
        </w:rPr>
        <w:t>,</w:t>
      </w:r>
      <w:r w:rsidR="003727D9">
        <w:rPr>
          <w:rFonts w:ascii="Arial" w:eastAsia="Times New Roman" w:hAnsi="Arial" w:cs="Arial"/>
          <w:lang w:eastAsia="en-GB"/>
        </w:rPr>
        <w:t xml:space="preserve"> in order to avoid the </w:t>
      </w:r>
      <w:r w:rsidR="00F72175" w:rsidRPr="005853B2">
        <w:rPr>
          <w:rFonts w:ascii="Arial" w:eastAsia="Times New Roman" w:hAnsi="Arial" w:cs="Arial"/>
          <w:lang w:eastAsia="en-GB"/>
        </w:rPr>
        <w:t xml:space="preserve">potential distorting effect of large charges (and potential credits) caused by triennial reassessment of multi-employer pension scheme recovery plans (such as the USS, </w:t>
      </w:r>
      <w:r w:rsidR="00686241">
        <w:rPr>
          <w:rFonts w:ascii="Arial" w:eastAsia="Times New Roman" w:hAnsi="Arial" w:cs="Arial"/>
          <w:lang w:eastAsia="en-GB"/>
        </w:rPr>
        <w:t>t</w:t>
      </w:r>
      <w:r w:rsidR="00042983">
        <w:rPr>
          <w:rFonts w:ascii="Arial" w:eastAsia="Times New Roman" w:hAnsi="Arial" w:cs="Arial"/>
          <w:lang w:eastAsia="en-GB"/>
        </w:rPr>
        <w:t>he Super</w:t>
      </w:r>
      <w:r w:rsidR="002F5EB9">
        <w:rPr>
          <w:rFonts w:ascii="Arial" w:eastAsia="Times New Roman" w:hAnsi="Arial" w:cs="Arial"/>
          <w:lang w:eastAsia="en-GB"/>
        </w:rPr>
        <w:t xml:space="preserve">annuation </w:t>
      </w:r>
      <w:r w:rsidR="0091435F">
        <w:rPr>
          <w:rFonts w:ascii="Arial" w:eastAsia="Times New Roman" w:hAnsi="Arial" w:cs="Arial"/>
          <w:lang w:eastAsia="en-GB"/>
        </w:rPr>
        <w:t>Arrangements for the University of London (</w:t>
      </w:r>
      <w:r w:rsidR="00F72175" w:rsidRPr="005853B2">
        <w:rPr>
          <w:rFonts w:ascii="Arial" w:eastAsia="Times New Roman" w:hAnsi="Arial" w:cs="Arial"/>
          <w:lang w:eastAsia="en-GB"/>
        </w:rPr>
        <w:t>SAUL</w:t>
      </w:r>
      <w:r w:rsidR="0091435F">
        <w:rPr>
          <w:rFonts w:ascii="Arial" w:eastAsia="Times New Roman" w:hAnsi="Arial" w:cs="Arial"/>
          <w:lang w:eastAsia="en-GB"/>
        </w:rPr>
        <w:t>)</w:t>
      </w:r>
      <w:r w:rsidR="00F72175" w:rsidRPr="005853B2">
        <w:rPr>
          <w:rFonts w:ascii="Arial" w:eastAsia="Times New Roman" w:hAnsi="Arial" w:cs="Arial"/>
          <w:lang w:eastAsia="en-GB"/>
        </w:rPr>
        <w:t xml:space="preserve"> and </w:t>
      </w:r>
      <w:r w:rsidR="00260196">
        <w:rPr>
          <w:rFonts w:ascii="Arial" w:eastAsia="Times New Roman" w:hAnsi="Arial" w:cs="Arial"/>
          <w:lang w:eastAsia="en-GB"/>
        </w:rPr>
        <w:t xml:space="preserve">University of </w:t>
      </w:r>
      <w:r w:rsidR="0091435F">
        <w:rPr>
          <w:rFonts w:ascii="Arial" w:eastAsia="Times New Roman" w:hAnsi="Arial" w:cs="Arial"/>
          <w:lang w:eastAsia="en-GB"/>
        </w:rPr>
        <w:t>Oxford Staff Pension Scheme (</w:t>
      </w:r>
      <w:r w:rsidR="00F72175" w:rsidRPr="005853B2">
        <w:rPr>
          <w:rFonts w:ascii="Arial" w:eastAsia="Times New Roman" w:hAnsi="Arial" w:cs="Arial"/>
          <w:lang w:eastAsia="en-GB"/>
        </w:rPr>
        <w:t>OSPS</w:t>
      </w:r>
      <w:r w:rsidR="0091435F">
        <w:rPr>
          <w:rFonts w:ascii="Arial" w:eastAsia="Times New Roman" w:hAnsi="Arial" w:cs="Arial"/>
          <w:lang w:eastAsia="en-GB"/>
        </w:rPr>
        <w:t>)</w:t>
      </w:r>
      <w:r w:rsidR="00F72175" w:rsidRPr="005853B2">
        <w:rPr>
          <w:rFonts w:ascii="Arial" w:eastAsia="Times New Roman" w:hAnsi="Arial" w:cs="Arial"/>
          <w:lang w:eastAsia="en-GB"/>
        </w:rPr>
        <w:t>). This is addressed by replacing the financial accounting charges with the annual cash contributions (which include deficit contributions) to the pension scheme in question. The FRS102 accounting for USS, SAUL and OSPS is different to other defined benefit pension schemes, which is why this adjustment is necessary for these schemes but not for other defined benefit schemes.</w:t>
      </w:r>
    </w:p>
  </w:footnote>
  <w:footnote w:id="7">
    <w:p w14:paraId="14CDBB19" w14:textId="5007241E" w:rsidR="005B13D5" w:rsidRDefault="005B13D5" w:rsidP="00296B71">
      <w:pPr>
        <w:pStyle w:val="FootnoteText"/>
      </w:pPr>
      <w:r>
        <w:rPr>
          <w:rStyle w:val="FootnoteReference"/>
        </w:rPr>
        <w:footnoteRef/>
      </w:r>
      <w:r>
        <w:t xml:space="preserve"> Definitions for this table can be found </w:t>
      </w:r>
      <w:r w:rsidRPr="00BE5AD4">
        <w:t xml:space="preserve">on page </w:t>
      </w:r>
      <w:r w:rsidR="0022607B" w:rsidRPr="00BE5AD4">
        <w:t>4</w:t>
      </w:r>
      <w:r w:rsidRPr="00BE5AD4">
        <w:t>. Figures in</w:t>
      </w:r>
      <w:r>
        <w:t xml:space="preserve"> this and subsequent tables may not sum because of rounding.</w:t>
      </w:r>
    </w:p>
  </w:footnote>
  <w:footnote w:id="8">
    <w:p w14:paraId="338F76EA" w14:textId="77777777" w:rsidR="005B13D5" w:rsidRDefault="005B13D5">
      <w:pPr>
        <w:pStyle w:val="FootnoteText"/>
      </w:pPr>
      <w:r>
        <w:rPr>
          <w:rStyle w:val="FootnoteReference"/>
        </w:rPr>
        <w:footnoteRef/>
      </w:r>
      <w:r>
        <w:t xml:space="preserve"> Data does not include postgraduate students at institutions that apply dispensation from the TRAC requirements.</w:t>
      </w:r>
    </w:p>
  </w:footnote>
  <w:footnote w:id="9">
    <w:p w14:paraId="4A66B709" w14:textId="69D4D339" w:rsidR="005B13D5" w:rsidRDefault="005B13D5" w:rsidP="001739A2">
      <w:pPr>
        <w:pStyle w:val="FootnoteText"/>
      </w:pPr>
      <w:r>
        <w:rPr>
          <w:rStyle w:val="FootnoteReference"/>
        </w:rPr>
        <w:footnoteRef/>
      </w:r>
      <w:r>
        <w:t xml:space="preserve"> The TRAC guidance is available at </w:t>
      </w:r>
      <w:hyperlink r:id="rId2" w:history="1">
        <w:r w:rsidR="00BF4BAA" w:rsidRPr="00D15B27">
          <w:rPr>
            <w:rStyle w:val="Hyperlink"/>
          </w:rPr>
          <w:t>www.trac.ac.uk/tracguidance/</w:t>
        </w:r>
      </w:hyperlink>
      <w:r>
        <w:t>.</w:t>
      </w:r>
    </w:p>
  </w:footnote>
  <w:footnote w:id="10">
    <w:p w14:paraId="6188B78C" w14:textId="77777777" w:rsidR="005B13D5" w:rsidRPr="00DD13DE" w:rsidRDefault="005B13D5" w:rsidP="001739A2">
      <w:pPr>
        <w:pStyle w:val="FootnoteText"/>
        <w:rPr>
          <w:color w:val="000000" w:themeColor="hyperlink"/>
          <w:u w:val="single"/>
        </w:rPr>
      </w:pPr>
    </w:p>
  </w:footnote>
  <w:footnote w:id="11">
    <w:p w14:paraId="2F6E1340" w14:textId="3891DCF9" w:rsidR="005B13D5" w:rsidRDefault="005B13D5" w:rsidP="001739A2">
      <w:pPr>
        <w:pStyle w:val="FootnoteText"/>
      </w:pPr>
      <w:r>
        <w:rPr>
          <w:rStyle w:val="FootnoteReference"/>
        </w:rPr>
        <w:footnoteRef/>
      </w:r>
      <w:r>
        <w:t xml:space="preserve"> </w:t>
      </w:r>
      <w:r>
        <w:rPr>
          <w:rStyle w:val="FootnoteReference"/>
        </w:rPr>
        <w:t>1</w:t>
      </w:r>
      <w:r w:rsidR="00CF325A">
        <w:rPr>
          <w:vertAlign w:val="superscript"/>
        </w:rPr>
        <w:t>1</w:t>
      </w:r>
      <w:r>
        <w:t xml:space="preserve"> The TRAC guidance is available at </w:t>
      </w:r>
      <w:hyperlink r:id="rId3" w:history="1">
        <w:r w:rsidRPr="00BE5AD4">
          <w:rPr>
            <w:rStyle w:val="Hyperlink"/>
          </w:rPr>
          <w:t>www.trac.ac.uk/tracguidance/</w:t>
        </w:r>
      </w:hyperlink>
      <w:r>
        <w:t>.</w:t>
      </w:r>
    </w:p>
  </w:footnote>
  <w:footnote w:id="12">
    <w:p w14:paraId="2CE538D8" w14:textId="77777777" w:rsidR="005B13D5" w:rsidRPr="00DD13DE" w:rsidRDefault="005B13D5" w:rsidP="001739A2">
      <w:pPr>
        <w:pStyle w:val="FootnoteText"/>
        <w:rPr>
          <w:color w:val="000000" w:themeColor="hyperlink"/>
          <w:u w:val="single"/>
        </w:rPr>
      </w:pPr>
    </w:p>
  </w:footnote>
  <w:footnote w:id="13">
    <w:p w14:paraId="1BD492F5" w14:textId="6E4E0DBA" w:rsidR="005B13D5" w:rsidRDefault="005B13D5">
      <w:pPr>
        <w:pStyle w:val="FootnoteText"/>
      </w:pPr>
      <w:r>
        <w:rPr>
          <w:rStyle w:val="FootnoteReference"/>
        </w:rPr>
        <w:footnoteRef/>
      </w:r>
      <w:r>
        <w:t xml:space="preserve"> Available at </w:t>
      </w:r>
      <w:hyperlink r:id="rId4" w:history="1">
        <w:r w:rsidRPr="00EE1D28">
          <w:rPr>
            <w:rStyle w:val="Hyperlink"/>
          </w:rPr>
          <w:t>www.officeforstudents.org.uk/data-and-analysis/trac-data/published-data-2018-19/</w:t>
        </w:r>
      </w:hyperlink>
      <w:r w:rsidRPr="00EE1D28">
        <w:t>.</w:t>
      </w:r>
    </w:p>
  </w:footnote>
  <w:footnote w:id="14">
    <w:p w14:paraId="2504252F" w14:textId="08FED828" w:rsidR="005B13D5" w:rsidRDefault="005B13D5" w:rsidP="006E40C8">
      <w:pPr>
        <w:pStyle w:val="FootnoteText"/>
      </w:pPr>
      <w:r>
        <w:rPr>
          <w:rStyle w:val="FootnoteReference"/>
        </w:rPr>
        <w:footnoteRef/>
      </w:r>
      <w:r>
        <w:t xml:space="preserve"> </w:t>
      </w:r>
      <w:r w:rsidRPr="009A07F1">
        <w:t xml:space="preserve">A list of higher education institutions </w:t>
      </w:r>
      <w:r>
        <w:t xml:space="preserve">and the criteria used in </w:t>
      </w:r>
      <w:r w:rsidRPr="009A07F1">
        <w:t>defining each peer group can be found at Annex 4.1b</w:t>
      </w:r>
      <w:r>
        <w:t xml:space="preserve"> of the TRAC guidance, available at:</w:t>
      </w:r>
      <w:r w:rsidRPr="00672088">
        <w:t xml:space="preserve"> </w:t>
      </w:r>
      <w:hyperlink r:id="rId5" w:history="1">
        <w:r w:rsidRPr="008D5E1E">
          <w:rPr>
            <w:rStyle w:val="Hyperlink"/>
          </w:rPr>
          <w:t>www.trac.ac.uk/tracguidance/</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4558F847ECF1445E8A7A332F34EEAEB3"/>
      </w:placeholder>
      <w:temporary/>
      <w:showingPlcHdr/>
      <w15:appearance w15:val="hidden"/>
    </w:sdtPr>
    <w:sdtEndPr/>
    <w:sdtContent>
      <w:p w14:paraId="451D5667" w14:textId="77777777" w:rsidR="005B13D5" w:rsidRDefault="005B13D5">
        <w:pPr>
          <w:pStyle w:val="Header"/>
        </w:pPr>
        <w:r>
          <w:t>[Type here]</w:t>
        </w:r>
      </w:p>
    </w:sdtContent>
  </w:sdt>
  <w:p w14:paraId="4C75352B" w14:textId="26976967" w:rsidR="005B13D5" w:rsidRPr="008B306C" w:rsidRDefault="005B13D5" w:rsidP="008B306C">
    <w:pPr>
      <w:pStyle w:val="Header"/>
      <w:jc w:val="both"/>
      <w:rPr>
        <w:b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5AD43" w14:textId="6AF44EF8" w:rsidR="005B13D5" w:rsidRPr="00E66777" w:rsidRDefault="00A267DB" w:rsidP="00E66777">
    <w:pPr>
      <w:pStyle w:val="Header"/>
      <w:jc w:val="both"/>
      <w:rPr>
        <w:bCs/>
        <w:sz w:val="20"/>
        <w:szCs w:val="20"/>
      </w:rPr>
    </w:pPr>
    <w:r w:rsidRPr="0089707E">
      <w:rPr>
        <w:noProof/>
        <w:color w:val="071A37"/>
        <w:lang w:eastAsia="en-GB"/>
      </w:rPr>
      <w:drawing>
        <wp:anchor distT="0" distB="0" distL="114300" distR="114300" simplePos="0" relativeHeight="251658241" behindDoc="1" locked="0" layoutInCell="1" allowOverlap="1" wp14:anchorId="4A89505B" wp14:editId="267C7DEB">
          <wp:simplePos x="0" y="0"/>
          <wp:positionH relativeFrom="page">
            <wp:posOffset>9829</wp:posOffset>
          </wp:positionH>
          <wp:positionV relativeFrom="page">
            <wp:posOffset>8890</wp:posOffset>
          </wp:positionV>
          <wp:extent cx="7556500" cy="10690226"/>
          <wp:effectExtent l="0" t="0" r="6350" b="0"/>
          <wp:wrapNone/>
          <wp:docPr id="3" name="Picture 3" descr="OfS logo and grey background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fS logo and grey background cove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500" cy="10690226"/>
                  </a:xfrm>
                  <a:prstGeom prst="rect">
                    <a:avLst/>
                  </a:prstGeom>
                </pic:spPr>
              </pic:pic>
            </a:graphicData>
          </a:graphic>
          <wp14:sizeRelH relativeFrom="margin">
            <wp14:pctWidth>0</wp14:pctWidth>
          </wp14:sizeRelH>
          <wp14:sizeRelV relativeFrom="margin">
            <wp14:pctHeight>0</wp14:pctHeight>
          </wp14:sizeRelV>
        </wp:anchor>
      </w:drawing>
    </w:r>
    <w:r w:rsidR="00BF49FF">
      <w:rPr>
        <w:b/>
        <w:bCs/>
        <w:color w:val="FF0000"/>
      </w:rPr>
      <w:ptab w:relativeTo="margin" w:alignment="center" w:leader="none"/>
    </w:r>
    <w:r w:rsidR="005B13D5" w:rsidRPr="00323256">
      <w:rPr>
        <w:bCs/>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41C09" w14:textId="398666BF" w:rsidR="005B13D5" w:rsidRPr="00A1703D" w:rsidRDefault="005B13D5" w:rsidP="00A170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E5491" w14:textId="795C6D55" w:rsidR="00B51D9E" w:rsidRPr="00837489" w:rsidRDefault="00B51D9E" w:rsidP="0083748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E70C2" w14:textId="74208187" w:rsidR="00C036B9" w:rsidRPr="00A1703D" w:rsidRDefault="00C036B9" w:rsidP="00A170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59E1E" w14:textId="1E161793" w:rsidR="004C0C3E" w:rsidRPr="00E66777" w:rsidRDefault="004C0C3E" w:rsidP="00E66777">
    <w:pPr>
      <w:pStyle w:val="Header"/>
      <w:jc w:val="both"/>
      <w:rPr>
        <w:bCs/>
        <w:sz w:val="20"/>
        <w:szCs w:val="20"/>
      </w:rPr>
    </w:pPr>
    <w:r>
      <w:rPr>
        <w:b/>
        <w:bCs/>
        <w:color w:val="FF0000"/>
      </w:rPr>
      <w:ptab w:relativeTo="margin" w:alignment="center" w:leader="none"/>
    </w:r>
    <w:r w:rsidRPr="00323256">
      <w:rPr>
        <w:bCs/>
        <w:sz w:val="20"/>
        <w:szCs w:val="20"/>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E3E55" w14:textId="50931BDF" w:rsidR="001C6782" w:rsidRPr="00A1703D" w:rsidRDefault="001C6782" w:rsidP="00A1703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4153B" w14:textId="77777777" w:rsidR="005B13D5" w:rsidRDefault="005B13D5">
    <w:pPr>
      <w:pStyle w:val="Header"/>
    </w:pPr>
    <w:r>
      <w:rPr>
        <w:noProof/>
        <w:color w:val="2B579A"/>
        <w:shd w:val="clear" w:color="auto" w:fill="E6E6E6"/>
        <w:lang w:eastAsia="en-GB"/>
      </w:rPr>
      <w:drawing>
        <wp:anchor distT="0" distB="0" distL="114300" distR="114300" simplePos="0" relativeHeight="251658240" behindDoc="1" locked="0" layoutInCell="1" allowOverlap="1" wp14:anchorId="3578A186" wp14:editId="10F772DF">
          <wp:simplePos x="0" y="0"/>
          <wp:positionH relativeFrom="column">
            <wp:posOffset>-723900</wp:posOffset>
          </wp:positionH>
          <wp:positionV relativeFrom="page">
            <wp:posOffset>1905</wp:posOffset>
          </wp:positionV>
          <wp:extent cx="7549767" cy="10680700"/>
          <wp:effectExtent l="0" t="0" r="0" b="635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676" cy="10690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5E269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2A4E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C20D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6411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0F4A8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32A6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9220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FC48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4ECCC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9C78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A033C"/>
    <w:multiLevelType w:val="hybridMultilevel"/>
    <w:tmpl w:val="8EA4BE94"/>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1" w15:restartNumberingAfterBreak="0">
    <w:nsid w:val="03522000"/>
    <w:multiLevelType w:val="hybridMultilevel"/>
    <w:tmpl w:val="815AC0C0"/>
    <w:lvl w:ilvl="0" w:tplc="19AC27E2">
      <w:start w:val="1"/>
      <w:numFmt w:val="bullet"/>
      <w:pStyle w:val="Boxedbluebullet"/>
      <w:lvlText w:val=""/>
      <w:lvlJc w:val="left"/>
      <w:pPr>
        <w:ind w:left="1004" w:hanging="360"/>
      </w:pPr>
      <w:rPr>
        <w:rFonts w:ascii="Symbol" w:hAnsi="Symbo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08990C77"/>
    <w:multiLevelType w:val="hybridMultilevel"/>
    <w:tmpl w:val="010681BA"/>
    <w:lvl w:ilvl="0" w:tplc="ADD42B5E">
      <w:start w:val="1"/>
      <w:numFmt w:val="bullet"/>
      <w:lvlText w:val=""/>
      <w:lvlJc w:val="left"/>
      <w:pPr>
        <w:ind w:left="720" w:hanging="360"/>
      </w:pPr>
      <w:rPr>
        <w:rFonts w:ascii="Symbol" w:hAnsi="Symbol" w:hint="default"/>
        <w:color w:val="auto"/>
      </w:rPr>
    </w:lvl>
    <w:lvl w:ilvl="1" w:tplc="22683826">
      <w:start w:val="6"/>
      <w:numFmt w:val="bullet"/>
      <w:pStyle w:val="Bullet2"/>
      <w:lvlText w:val=""/>
      <w:lvlJc w:val="left"/>
      <w:pPr>
        <w:ind w:left="1440" w:hanging="36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4C5F49"/>
    <w:multiLevelType w:val="hybridMultilevel"/>
    <w:tmpl w:val="93CA34BE"/>
    <w:lvl w:ilvl="0" w:tplc="08090001">
      <w:start w:val="1"/>
      <w:numFmt w:val="bullet"/>
      <w:lvlText w:val=""/>
      <w:lvlJc w:val="left"/>
      <w:pPr>
        <w:ind w:left="360" w:hanging="360"/>
      </w:pPr>
      <w:rPr>
        <w:rFonts w:ascii="Symbol" w:hAnsi="Symbol" w:hint="default"/>
      </w:rPr>
    </w:lvl>
    <w:lvl w:ilvl="1" w:tplc="F6942CAC">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F683DE6"/>
    <w:multiLevelType w:val="hybridMultilevel"/>
    <w:tmpl w:val="B29698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EC4757"/>
    <w:multiLevelType w:val="hybridMultilevel"/>
    <w:tmpl w:val="618805EC"/>
    <w:lvl w:ilvl="0" w:tplc="793A4468">
      <w:start w:val="1"/>
      <w:numFmt w:val="decimal"/>
      <w:pStyle w:val="Boxedbluenumbered"/>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1AB5445E"/>
    <w:multiLevelType w:val="hybridMultilevel"/>
    <w:tmpl w:val="142C4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CF33DDC"/>
    <w:multiLevelType w:val="hybridMultilevel"/>
    <w:tmpl w:val="AE4C3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E42C95"/>
    <w:multiLevelType w:val="hybridMultilevel"/>
    <w:tmpl w:val="F7C84D06"/>
    <w:lvl w:ilvl="0" w:tplc="5ACC9B02">
      <w:start w:val="1"/>
      <w:numFmt w:val="bullet"/>
      <w:pStyle w:val="Bullet1"/>
      <w:lvlText w:val=""/>
      <w:lvlJc w:val="left"/>
      <w:pPr>
        <w:ind w:left="1288" w:hanging="360"/>
      </w:pPr>
      <w:rPr>
        <w:rFonts w:ascii="Symbol" w:hAnsi="Symbol" w:hint="default"/>
        <w:color w:val="auto"/>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9" w15:restartNumberingAfterBreak="0">
    <w:nsid w:val="3C61052B"/>
    <w:multiLevelType w:val="multilevel"/>
    <w:tmpl w:val="CB30A5FE"/>
    <w:lvl w:ilvl="0">
      <w:start w:val="1"/>
      <w:numFmt w:val="decimal"/>
      <w:pStyle w:val="Boxedyellownumb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6364F09"/>
    <w:multiLevelType w:val="hybridMultilevel"/>
    <w:tmpl w:val="AD80AA1C"/>
    <w:lvl w:ilvl="0" w:tplc="08090001">
      <w:start w:val="1"/>
      <w:numFmt w:val="bullet"/>
      <w:lvlText w:val=""/>
      <w:lvlJc w:val="left"/>
      <w:pPr>
        <w:ind w:left="360" w:hanging="360"/>
      </w:pPr>
      <w:rPr>
        <w:rFonts w:ascii="Symbol" w:hAnsi="Symbol" w:hint="default"/>
      </w:rPr>
    </w:lvl>
    <w:lvl w:ilvl="1" w:tplc="F6942CAC">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B745D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40166ED"/>
    <w:multiLevelType w:val="hybridMultilevel"/>
    <w:tmpl w:val="68587E2C"/>
    <w:lvl w:ilvl="0" w:tplc="905A6058">
      <w:start w:val="1"/>
      <w:numFmt w:val="decimal"/>
      <w:pStyle w:val="Numberedtext1"/>
      <w:lvlText w:val="%1."/>
      <w:lvlJc w:val="left"/>
      <w:pPr>
        <w:ind w:left="360" w:hanging="360"/>
      </w:pPr>
    </w:lvl>
    <w:lvl w:ilvl="1" w:tplc="F6942CAC">
      <w:start w:val="1"/>
      <w:numFmt w:val="lowerLetter"/>
      <w:pStyle w:val="Numberedtext2"/>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4AB6928"/>
    <w:multiLevelType w:val="hybridMultilevel"/>
    <w:tmpl w:val="F45CFE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18"/>
  </w:num>
  <w:num w:numId="7">
    <w:abstractNumId w:val="12"/>
  </w:num>
  <w:num w:numId="8">
    <w:abstractNumId w:val="22"/>
  </w:num>
  <w:num w:numId="9">
    <w:abstractNumId w:val="11"/>
  </w:num>
  <w:num w:numId="10">
    <w:abstractNumId w:val="8"/>
  </w:num>
  <w:num w:numId="11">
    <w:abstractNumId w:val="3"/>
  </w:num>
  <w:num w:numId="12">
    <w:abstractNumId w:val="2"/>
  </w:num>
  <w:num w:numId="13">
    <w:abstractNumId w:val="1"/>
  </w:num>
  <w:num w:numId="14">
    <w:abstractNumId w:val="0"/>
  </w:num>
  <w:num w:numId="15">
    <w:abstractNumId w:val="23"/>
  </w:num>
  <w:num w:numId="16">
    <w:abstractNumId w:val="15"/>
  </w:num>
  <w:num w:numId="17">
    <w:abstractNumId w:val="21"/>
  </w:num>
  <w:num w:numId="18">
    <w:abstractNumId w:val="19"/>
  </w:num>
  <w:num w:numId="19">
    <w:abstractNumId w:val="10"/>
  </w:num>
  <w:num w:numId="20">
    <w:abstractNumId w:val="22"/>
    <w:lvlOverride w:ilvl="0">
      <w:startOverride w:val="1"/>
    </w:lvlOverride>
  </w:num>
  <w:num w:numId="21">
    <w:abstractNumId w:val="22"/>
    <w:lvlOverride w:ilvl="0">
      <w:startOverride w:val="1"/>
    </w:lvlOverride>
  </w:num>
  <w:num w:numId="22">
    <w:abstractNumId w:val="14"/>
  </w:num>
  <w:num w:numId="23">
    <w:abstractNumId w:val="22"/>
    <w:lvlOverride w:ilvl="0">
      <w:startOverride w:val="1"/>
    </w:lvlOverride>
  </w:num>
  <w:num w:numId="24">
    <w:abstractNumId w:val="20"/>
  </w:num>
  <w:num w:numId="25">
    <w:abstractNumId w:val="13"/>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324" w:allStyles="0" w:customStyles="0" w:latentStyles="1" w:stylesInUse="0" w:headingStyles="1" w:numberingStyles="0" w:tableStyles="0" w:directFormattingOnRuns="1"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UzNzQzNDQzMDQ3MjFV0lEKTi0uzszPAykwNKgFAHZex6QtAAAA"/>
  </w:docVars>
  <w:rsids>
    <w:rsidRoot w:val="006A263D"/>
    <w:rsid w:val="00006C57"/>
    <w:rsid w:val="00007DD1"/>
    <w:rsid w:val="00010A77"/>
    <w:rsid w:val="00011114"/>
    <w:rsid w:val="00011EE4"/>
    <w:rsid w:val="00013D43"/>
    <w:rsid w:val="0001420A"/>
    <w:rsid w:val="00021579"/>
    <w:rsid w:val="00023B60"/>
    <w:rsid w:val="00026236"/>
    <w:rsid w:val="000275A5"/>
    <w:rsid w:val="0002767E"/>
    <w:rsid w:val="000312B6"/>
    <w:rsid w:val="00031449"/>
    <w:rsid w:val="00033ACB"/>
    <w:rsid w:val="00036334"/>
    <w:rsid w:val="000363C6"/>
    <w:rsid w:val="00042983"/>
    <w:rsid w:val="00046692"/>
    <w:rsid w:val="00051D77"/>
    <w:rsid w:val="000535DF"/>
    <w:rsid w:val="00054E2A"/>
    <w:rsid w:val="000557DB"/>
    <w:rsid w:val="00055D4B"/>
    <w:rsid w:val="000564BE"/>
    <w:rsid w:val="000624A5"/>
    <w:rsid w:val="00062DAD"/>
    <w:rsid w:val="000674D6"/>
    <w:rsid w:val="00067C63"/>
    <w:rsid w:val="0007321F"/>
    <w:rsid w:val="000737BB"/>
    <w:rsid w:val="00073EB6"/>
    <w:rsid w:val="00074440"/>
    <w:rsid w:val="000761E0"/>
    <w:rsid w:val="0007731C"/>
    <w:rsid w:val="00080F60"/>
    <w:rsid w:val="00081F2D"/>
    <w:rsid w:val="00083471"/>
    <w:rsid w:val="000868BC"/>
    <w:rsid w:val="00090933"/>
    <w:rsid w:val="00091122"/>
    <w:rsid w:val="00091B56"/>
    <w:rsid w:val="00092E43"/>
    <w:rsid w:val="00093118"/>
    <w:rsid w:val="00093352"/>
    <w:rsid w:val="000970C1"/>
    <w:rsid w:val="00097881"/>
    <w:rsid w:val="000A1769"/>
    <w:rsid w:val="000A32C4"/>
    <w:rsid w:val="000A41AD"/>
    <w:rsid w:val="000A76E6"/>
    <w:rsid w:val="000B20B8"/>
    <w:rsid w:val="000B6529"/>
    <w:rsid w:val="000C00CC"/>
    <w:rsid w:val="000C0D41"/>
    <w:rsid w:val="000C1333"/>
    <w:rsid w:val="000C3753"/>
    <w:rsid w:val="000D3761"/>
    <w:rsid w:val="000D5586"/>
    <w:rsid w:val="000E21B4"/>
    <w:rsid w:val="000E46A8"/>
    <w:rsid w:val="000E7D1A"/>
    <w:rsid w:val="000F0BC4"/>
    <w:rsid w:val="000F27E4"/>
    <w:rsid w:val="000F2B77"/>
    <w:rsid w:val="000F2FDC"/>
    <w:rsid w:val="000F5D5E"/>
    <w:rsid w:val="000F6FF0"/>
    <w:rsid w:val="001000C2"/>
    <w:rsid w:val="0010361F"/>
    <w:rsid w:val="0010522F"/>
    <w:rsid w:val="00105278"/>
    <w:rsid w:val="00105DC7"/>
    <w:rsid w:val="00105E34"/>
    <w:rsid w:val="0011313B"/>
    <w:rsid w:val="00115029"/>
    <w:rsid w:val="00121BE6"/>
    <w:rsid w:val="00123177"/>
    <w:rsid w:val="00125E83"/>
    <w:rsid w:val="0012624D"/>
    <w:rsid w:val="001272DF"/>
    <w:rsid w:val="00130B16"/>
    <w:rsid w:val="0013176D"/>
    <w:rsid w:val="00132EC4"/>
    <w:rsid w:val="00136576"/>
    <w:rsid w:val="00137C13"/>
    <w:rsid w:val="00140493"/>
    <w:rsid w:val="00140F93"/>
    <w:rsid w:val="001410FF"/>
    <w:rsid w:val="00141A50"/>
    <w:rsid w:val="001442C0"/>
    <w:rsid w:val="00146A21"/>
    <w:rsid w:val="00150EDC"/>
    <w:rsid w:val="001510DC"/>
    <w:rsid w:val="001514DD"/>
    <w:rsid w:val="0015175E"/>
    <w:rsid w:val="00154FA2"/>
    <w:rsid w:val="00156A7C"/>
    <w:rsid w:val="00160D4B"/>
    <w:rsid w:val="00160D84"/>
    <w:rsid w:val="00165387"/>
    <w:rsid w:val="001653D0"/>
    <w:rsid w:val="001658D0"/>
    <w:rsid w:val="00166F39"/>
    <w:rsid w:val="001716C1"/>
    <w:rsid w:val="001739A2"/>
    <w:rsid w:val="001743D0"/>
    <w:rsid w:val="00175973"/>
    <w:rsid w:val="00185BB8"/>
    <w:rsid w:val="00186125"/>
    <w:rsid w:val="00186BAD"/>
    <w:rsid w:val="00190DBA"/>
    <w:rsid w:val="00190EF6"/>
    <w:rsid w:val="0019116A"/>
    <w:rsid w:val="001917BB"/>
    <w:rsid w:val="00192BA9"/>
    <w:rsid w:val="001978D5"/>
    <w:rsid w:val="001A1374"/>
    <w:rsid w:val="001A1C66"/>
    <w:rsid w:val="001A204C"/>
    <w:rsid w:val="001A3D97"/>
    <w:rsid w:val="001A402F"/>
    <w:rsid w:val="001A4C12"/>
    <w:rsid w:val="001A774C"/>
    <w:rsid w:val="001A778B"/>
    <w:rsid w:val="001B006B"/>
    <w:rsid w:val="001B0081"/>
    <w:rsid w:val="001B3B76"/>
    <w:rsid w:val="001B464E"/>
    <w:rsid w:val="001B4D94"/>
    <w:rsid w:val="001B6EB7"/>
    <w:rsid w:val="001C0B56"/>
    <w:rsid w:val="001C1B44"/>
    <w:rsid w:val="001C4118"/>
    <w:rsid w:val="001C496B"/>
    <w:rsid w:val="001C6782"/>
    <w:rsid w:val="001C77CB"/>
    <w:rsid w:val="001D05F8"/>
    <w:rsid w:val="001D6996"/>
    <w:rsid w:val="001D75DD"/>
    <w:rsid w:val="001E2B7E"/>
    <w:rsid w:val="001E362F"/>
    <w:rsid w:val="001E4BEB"/>
    <w:rsid w:val="001E5A22"/>
    <w:rsid w:val="001E756D"/>
    <w:rsid w:val="001E7C14"/>
    <w:rsid w:val="001F197E"/>
    <w:rsid w:val="001F255A"/>
    <w:rsid w:val="001F3195"/>
    <w:rsid w:val="001F3347"/>
    <w:rsid w:val="001F414A"/>
    <w:rsid w:val="001F59D1"/>
    <w:rsid w:val="002033B6"/>
    <w:rsid w:val="0020657C"/>
    <w:rsid w:val="00207886"/>
    <w:rsid w:val="00207D2E"/>
    <w:rsid w:val="002110AE"/>
    <w:rsid w:val="00211297"/>
    <w:rsid w:val="00211903"/>
    <w:rsid w:val="0021316E"/>
    <w:rsid w:val="002136B5"/>
    <w:rsid w:val="00214F2E"/>
    <w:rsid w:val="00215D99"/>
    <w:rsid w:val="002165BB"/>
    <w:rsid w:val="002168D6"/>
    <w:rsid w:val="00216944"/>
    <w:rsid w:val="0021725B"/>
    <w:rsid w:val="00220FB5"/>
    <w:rsid w:val="0022607B"/>
    <w:rsid w:val="00230F2C"/>
    <w:rsid w:val="00230FB1"/>
    <w:rsid w:val="00240128"/>
    <w:rsid w:val="00244372"/>
    <w:rsid w:val="00246C80"/>
    <w:rsid w:val="00251C27"/>
    <w:rsid w:val="00252F89"/>
    <w:rsid w:val="00255D28"/>
    <w:rsid w:val="002562A4"/>
    <w:rsid w:val="00260196"/>
    <w:rsid w:val="00265415"/>
    <w:rsid w:val="00270B89"/>
    <w:rsid w:val="0027131D"/>
    <w:rsid w:val="00275203"/>
    <w:rsid w:val="002758DD"/>
    <w:rsid w:val="00277D89"/>
    <w:rsid w:val="00281586"/>
    <w:rsid w:val="0028169D"/>
    <w:rsid w:val="00281B0F"/>
    <w:rsid w:val="0028271A"/>
    <w:rsid w:val="002834FC"/>
    <w:rsid w:val="00283ADA"/>
    <w:rsid w:val="0028644A"/>
    <w:rsid w:val="002865CA"/>
    <w:rsid w:val="00291B40"/>
    <w:rsid w:val="00294795"/>
    <w:rsid w:val="002953B3"/>
    <w:rsid w:val="002966A1"/>
    <w:rsid w:val="00296916"/>
    <w:rsid w:val="00296B71"/>
    <w:rsid w:val="002A13DF"/>
    <w:rsid w:val="002A2CFD"/>
    <w:rsid w:val="002A392A"/>
    <w:rsid w:val="002A7CD4"/>
    <w:rsid w:val="002B1295"/>
    <w:rsid w:val="002B3935"/>
    <w:rsid w:val="002B3E3F"/>
    <w:rsid w:val="002B4B34"/>
    <w:rsid w:val="002B52A3"/>
    <w:rsid w:val="002B6FEB"/>
    <w:rsid w:val="002B764E"/>
    <w:rsid w:val="002C0AB1"/>
    <w:rsid w:val="002C0E3B"/>
    <w:rsid w:val="002C533B"/>
    <w:rsid w:val="002D20FB"/>
    <w:rsid w:val="002D42E8"/>
    <w:rsid w:val="002D6D28"/>
    <w:rsid w:val="002D7D70"/>
    <w:rsid w:val="002E06D2"/>
    <w:rsid w:val="002E176C"/>
    <w:rsid w:val="002E1E81"/>
    <w:rsid w:val="002E2558"/>
    <w:rsid w:val="002F1451"/>
    <w:rsid w:val="002F37FA"/>
    <w:rsid w:val="002F5691"/>
    <w:rsid w:val="002F5EB9"/>
    <w:rsid w:val="00301A60"/>
    <w:rsid w:val="003031EE"/>
    <w:rsid w:val="00310E21"/>
    <w:rsid w:val="0031138E"/>
    <w:rsid w:val="00314604"/>
    <w:rsid w:val="0032006D"/>
    <w:rsid w:val="00320F8B"/>
    <w:rsid w:val="00321BFE"/>
    <w:rsid w:val="003223FC"/>
    <w:rsid w:val="00322508"/>
    <w:rsid w:val="003236B5"/>
    <w:rsid w:val="003305FF"/>
    <w:rsid w:val="00330B8D"/>
    <w:rsid w:val="00331588"/>
    <w:rsid w:val="00331BBD"/>
    <w:rsid w:val="00332566"/>
    <w:rsid w:val="00332D17"/>
    <w:rsid w:val="00333B52"/>
    <w:rsid w:val="00337E82"/>
    <w:rsid w:val="0034005B"/>
    <w:rsid w:val="00340658"/>
    <w:rsid w:val="00340E91"/>
    <w:rsid w:val="0034209F"/>
    <w:rsid w:val="003424BF"/>
    <w:rsid w:val="003511CF"/>
    <w:rsid w:val="003512DF"/>
    <w:rsid w:val="003528BB"/>
    <w:rsid w:val="00356F9A"/>
    <w:rsid w:val="00356FC6"/>
    <w:rsid w:val="00361984"/>
    <w:rsid w:val="00361E99"/>
    <w:rsid w:val="00362766"/>
    <w:rsid w:val="00363EA0"/>
    <w:rsid w:val="003648FA"/>
    <w:rsid w:val="003656EA"/>
    <w:rsid w:val="00365923"/>
    <w:rsid w:val="0037174A"/>
    <w:rsid w:val="00372109"/>
    <w:rsid w:val="003727D9"/>
    <w:rsid w:val="00375E18"/>
    <w:rsid w:val="00377E87"/>
    <w:rsid w:val="00383FA9"/>
    <w:rsid w:val="00387013"/>
    <w:rsid w:val="00390280"/>
    <w:rsid w:val="00390D5F"/>
    <w:rsid w:val="003917C3"/>
    <w:rsid w:val="0039235A"/>
    <w:rsid w:val="003942EB"/>
    <w:rsid w:val="00395555"/>
    <w:rsid w:val="00395B36"/>
    <w:rsid w:val="00395D1E"/>
    <w:rsid w:val="00397CFE"/>
    <w:rsid w:val="003A1D39"/>
    <w:rsid w:val="003A3586"/>
    <w:rsid w:val="003A403D"/>
    <w:rsid w:val="003A5EE5"/>
    <w:rsid w:val="003B2C82"/>
    <w:rsid w:val="003B2D94"/>
    <w:rsid w:val="003B5779"/>
    <w:rsid w:val="003B7387"/>
    <w:rsid w:val="003B76F4"/>
    <w:rsid w:val="003C1181"/>
    <w:rsid w:val="003C1854"/>
    <w:rsid w:val="003C6737"/>
    <w:rsid w:val="003C699B"/>
    <w:rsid w:val="003C7591"/>
    <w:rsid w:val="003D01BC"/>
    <w:rsid w:val="003D1449"/>
    <w:rsid w:val="003D1502"/>
    <w:rsid w:val="003D2C13"/>
    <w:rsid w:val="003D6B8B"/>
    <w:rsid w:val="003E1F45"/>
    <w:rsid w:val="003E3C11"/>
    <w:rsid w:val="003E4529"/>
    <w:rsid w:val="003E5E9E"/>
    <w:rsid w:val="003E7D09"/>
    <w:rsid w:val="003F00E6"/>
    <w:rsid w:val="003F0D11"/>
    <w:rsid w:val="003F19D5"/>
    <w:rsid w:val="003F5506"/>
    <w:rsid w:val="003F7714"/>
    <w:rsid w:val="003F7DF6"/>
    <w:rsid w:val="004010E0"/>
    <w:rsid w:val="00402743"/>
    <w:rsid w:val="00403183"/>
    <w:rsid w:val="004125B8"/>
    <w:rsid w:val="00421B5A"/>
    <w:rsid w:val="00423995"/>
    <w:rsid w:val="00424AF5"/>
    <w:rsid w:val="0043096E"/>
    <w:rsid w:val="00433264"/>
    <w:rsid w:val="004350E3"/>
    <w:rsid w:val="004353A5"/>
    <w:rsid w:val="00435A0D"/>
    <w:rsid w:val="00435E56"/>
    <w:rsid w:val="00436741"/>
    <w:rsid w:val="00440850"/>
    <w:rsid w:val="00445F11"/>
    <w:rsid w:val="00447B86"/>
    <w:rsid w:val="00447E05"/>
    <w:rsid w:val="00452408"/>
    <w:rsid w:val="004526B3"/>
    <w:rsid w:val="00452B95"/>
    <w:rsid w:val="004603CD"/>
    <w:rsid w:val="00460569"/>
    <w:rsid w:val="00461341"/>
    <w:rsid w:val="0046141A"/>
    <w:rsid w:val="0046266F"/>
    <w:rsid w:val="00463E17"/>
    <w:rsid w:val="00463F63"/>
    <w:rsid w:val="0046712D"/>
    <w:rsid w:val="00470EE2"/>
    <w:rsid w:val="00471973"/>
    <w:rsid w:val="00474309"/>
    <w:rsid w:val="00475423"/>
    <w:rsid w:val="0047669C"/>
    <w:rsid w:val="004834D9"/>
    <w:rsid w:val="004903E9"/>
    <w:rsid w:val="00491D8E"/>
    <w:rsid w:val="0049257A"/>
    <w:rsid w:val="00497D87"/>
    <w:rsid w:val="004A12F3"/>
    <w:rsid w:val="004A18C1"/>
    <w:rsid w:val="004A2FD0"/>
    <w:rsid w:val="004A3AD7"/>
    <w:rsid w:val="004A5320"/>
    <w:rsid w:val="004B11E3"/>
    <w:rsid w:val="004B1E22"/>
    <w:rsid w:val="004B2A0F"/>
    <w:rsid w:val="004B351A"/>
    <w:rsid w:val="004B4064"/>
    <w:rsid w:val="004B5A61"/>
    <w:rsid w:val="004B5AB1"/>
    <w:rsid w:val="004B6302"/>
    <w:rsid w:val="004C0C3E"/>
    <w:rsid w:val="004C31D6"/>
    <w:rsid w:val="004C3FF4"/>
    <w:rsid w:val="004C4B85"/>
    <w:rsid w:val="004C6C18"/>
    <w:rsid w:val="004C7955"/>
    <w:rsid w:val="004D0714"/>
    <w:rsid w:val="004D0B01"/>
    <w:rsid w:val="004D11E4"/>
    <w:rsid w:val="004D1783"/>
    <w:rsid w:val="004D17F0"/>
    <w:rsid w:val="004D1FDE"/>
    <w:rsid w:val="004D49E9"/>
    <w:rsid w:val="004D5E20"/>
    <w:rsid w:val="004D6B12"/>
    <w:rsid w:val="004D70B9"/>
    <w:rsid w:val="004D7DB6"/>
    <w:rsid w:val="004E2850"/>
    <w:rsid w:val="004E639F"/>
    <w:rsid w:val="004E7A37"/>
    <w:rsid w:val="004F1611"/>
    <w:rsid w:val="004F233D"/>
    <w:rsid w:val="0050263D"/>
    <w:rsid w:val="005034B6"/>
    <w:rsid w:val="005036BE"/>
    <w:rsid w:val="00503F4D"/>
    <w:rsid w:val="00507123"/>
    <w:rsid w:val="00510682"/>
    <w:rsid w:val="00512FA6"/>
    <w:rsid w:val="0051300E"/>
    <w:rsid w:val="005143DD"/>
    <w:rsid w:val="005178B4"/>
    <w:rsid w:val="00517F83"/>
    <w:rsid w:val="00521C51"/>
    <w:rsid w:val="005234B4"/>
    <w:rsid w:val="00530261"/>
    <w:rsid w:val="0053130B"/>
    <w:rsid w:val="00531B3A"/>
    <w:rsid w:val="005321DA"/>
    <w:rsid w:val="00532ECD"/>
    <w:rsid w:val="0053570C"/>
    <w:rsid w:val="00537A9B"/>
    <w:rsid w:val="00543E79"/>
    <w:rsid w:val="005450C5"/>
    <w:rsid w:val="00551448"/>
    <w:rsid w:val="0055158A"/>
    <w:rsid w:val="00553464"/>
    <w:rsid w:val="005600B1"/>
    <w:rsid w:val="00560A16"/>
    <w:rsid w:val="005638E7"/>
    <w:rsid w:val="00563E57"/>
    <w:rsid w:val="005648A7"/>
    <w:rsid w:val="00565C26"/>
    <w:rsid w:val="005677AD"/>
    <w:rsid w:val="00573AB4"/>
    <w:rsid w:val="00574964"/>
    <w:rsid w:val="00575E0C"/>
    <w:rsid w:val="005779C2"/>
    <w:rsid w:val="005835B7"/>
    <w:rsid w:val="00590B09"/>
    <w:rsid w:val="005919BF"/>
    <w:rsid w:val="005923ED"/>
    <w:rsid w:val="00593697"/>
    <w:rsid w:val="00595196"/>
    <w:rsid w:val="00596069"/>
    <w:rsid w:val="00597D3A"/>
    <w:rsid w:val="005A0A84"/>
    <w:rsid w:val="005A0B55"/>
    <w:rsid w:val="005A11A8"/>
    <w:rsid w:val="005A5F6A"/>
    <w:rsid w:val="005A7F57"/>
    <w:rsid w:val="005A7FE3"/>
    <w:rsid w:val="005B0D82"/>
    <w:rsid w:val="005B13D5"/>
    <w:rsid w:val="005B28E1"/>
    <w:rsid w:val="005B329F"/>
    <w:rsid w:val="005B3B98"/>
    <w:rsid w:val="005B6315"/>
    <w:rsid w:val="005C1CA6"/>
    <w:rsid w:val="005C2FF7"/>
    <w:rsid w:val="005C3821"/>
    <w:rsid w:val="005C57A8"/>
    <w:rsid w:val="005D0EC9"/>
    <w:rsid w:val="005D1FF3"/>
    <w:rsid w:val="005D2583"/>
    <w:rsid w:val="005D300A"/>
    <w:rsid w:val="005D5A26"/>
    <w:rsid w:val="005D76C1"/>
    <w:rsid w:val="005D7FC2"/>
    <w:rsid w:val="005E0DF9"/>
    <w:rsid w:val="005E1C71"/>
    <w:rsid w:val="005E42C8"/>
    <w:rsid w:val="005E57D0"/>
    <w:rsid w:val="005E7797"/>
    <w:rsid w:val="005E7D59"/>
    <w:rsid w:val="005F3EBD"/>
    <w:rsid w:val="005F6765"/>
    <w:rsid w:val="00600763"/>
    <w:rsid w:val="006025F7"/>
    <w:rsid w:val="00602948"/>
    <w:rsid w:val="006034E9"/>
    <w:rsid w:val="006046AA"/>
    <w:rsid w:val="006056B5"/>
    <w:rsid w:val="0060787D"/>
    <w:rsid w:val="00607BB7"/>
    <w:rsid w:val="0061354D"/>
    <w:rsid w:val="006141A1"/>
    <w:rsid w:val="00614568"/>
    <w:rsid w:val="00615164"/>
    <w:rsid w:val="00616607"/>
    <w:rsid w:val="00616B59"/>
    <w:rsid w:val="00616D6D"/>
    <w:rsid w:val="00620210"/>
    <w:rsid w:val="006203CD"/>
    <w:rsid w:val="00621218"/>
    <w:rsid w:val="00621EF7"/>
    <w:rsid w:val="006233CA"/>
    <w:rsid w:val="00624DDA"/>
    <w:rsid w:val="00625913"/>
    <w:rsid w:val="006268F4"/>
    <w:rsid w:val="006302C9"/>
    <w:rsid w:val="00630783"/>
    <w:rsid w:val="006313D0"/>
    <w:rsid w:val="00631421"/>
    <w:rsid w:val="00631578"/>
    <w:rsid w:val="00633633"/>
    <w:rsid w:val="0063449E"/>
    <w:rsid w:val="00636574"/>
    <w:rsid w:val="00640D46"/>
    <w:rsid w:val="00644A5C"/>
    <w:rsid w:val="00645E74"/>
    <w:rsid w:val="0064728C"/>
    <w:rsid w:val="00650545"/>
    <w:rsid w:val="00651709"/>
    <w:rsid w:val="00652EFA"/>
    <w:rsid w:val="00653D2E"/>
    <w:rsid w:val="00654803"/>
    <w:rsid w:val="00654B2F"/>
    <w:rsid w:val="00660356"/>
    <w:rsid w:val="006618C8"/>
    <w:rsid w:val="00662D5D"/>
    <w:rsid w:val="00662F05"/>
    <w:rsid w:val="006654FA"/>
    <w:rsid w:val="006670D8"/>
    <w:rsid w:val="0066747C"/>
    <w:rsid w:val="00667503"/>
    <w:rsid w:val="00667EBF"/>
    <w:rsid w:val="00672088"/>
    <w:rsid w:val="0067263C"/>
    <w:rsid w:val="006747DA"/>
    <w:rsid w:val="00675D53"/>
    <w:rsid w:val="006800EE"/>
    <w:rsid w:val="00680411"/>
    <w:rsid w:val="006811FF"/>
    <w:rsid w:val="006830E1"/>
    <w:rsid w:val="006841CA"/>
    <w:rsid w:val="00684DC3"/>
    <w:rsid w:val="00685D13"/>
    <w:rsid w:val="00686241"/>
    <w:rsid w:val="00692509"/>
    <w:rsid w:val="00695D3F"/>
    <w:rsid w:val="0069757E"/>
    <w:rsid w:val="006A263D"/>
    <w:rsid w:val="006A6533"/>
    <w:rsid w:val="006B22DB"/>
    <w:rsid w:val="006B3E76"/>
    <w:rsid w:val="006C3293"/>
    <w:rsid w:val="006C458F"/>
    <w:rsid w:val="006C4659"/>
    <w:rsid w:val="006C7B53"/>
    <w:rsid w:val="006D0ADE"/>
    <w:rsid w:val="006D216D"/>
    <w:rsid w:val="006D76A7"/>
    <w:rsid w:val="006E062E"/>
    <w:rsid w:val="006E40C8"/>
    <w:rsid w:val="006E491F"/>
    <w:rsid w:val="006E4CBC"/>
    <w:rsid w:val="006E5FAD"/>
    <w:rsid w:val="006E63B8"/>
    <w:rsid w:val="006E7974"/>
    <w:rsid w:val="006E7A00"/>
    <w:rsid w:val="006F01F2"/>
    <w:rsid w:val="006F0374"/>
    <w:rsid w:val="006F0AE7"/>
    <w:rsid w:val="006F0CC8"/>
    <w:rsid w:val="006F19CC"/>
    <w:rsid w:val="006F34D4"/>
    <w:rsid w:val="006F3AEF"/>
    <w:rsid w:val="006F6391"/>
    <w:rsid w:val="006F783B"/>
    <w:rsid w:val="00700BE1"/>
    <w:rsid w:val="00701887"/>
    <w:rsid w:val="00702F55"/>
    <w:rsid w:val="00703A02"/>
    <w:rsid w:val="00703F93"/>
    <w:rsid w:val="00705C12"/>
    <w:rsid w:val="007100B2"/>
    <w:rsid w:val="00710861"/>
    <w:rsid w:val="00710A24"/>
    <w:rsid w:val="00711BC5"/>
    <w:rsid w:val="0071458F"/>
    <w:rsid w:val="00716350"/>
    <w:rsid w:val="007166B4"/>
    <w:rsid w:val="00717C72"/>
    <w:rsid w:val="00720CEE"/>
    <w:rsid w:val="00722319"/>
    <w:rsid w:val="007252A2"/>
    <w:rsid w:val="007340A0"/>
    <w:rsid w:val="00734AFD"/>
    <w:rsid w:val="00735554"/>
    <w:rsid w:val="007362BB"/>
    <w:rsid w:val="00737E24"/>
    <w:rsid w:val="00741D96"/>
    <w:rsid w:val="00743A99"/>
    <w:rsid w:val="007441F0"/>
    <w:rsid w:val="0075255E"/>
    <w:rsid w:val="007528DB"/>
    <w:rsid w:val="00752E6B"/>
    <w:rsid w:val="00753DED"/>
    <w:rsid w:val="0075740B"/>
    <w:rsid w:val="0076021C"/>
    <w:rsid w:val="007608E7"/>
    <w:rsid w:val="007631A8"/>
    <w:rsid w:val="007648D0"/>
    <w:rsid w:val="007651C3"/>
    <w:rsid w:val="00765CEA"/>
    <w:rsid w:val="00766B4C"/>
    <w:rsid w:val="0077079B"/>
    <w:rsid w:val="007710B8"/>
    <w:rsid w:val="00773D1E"/>
    <w:rsid w:val="00776CB9"/>
    <w:rsid w:val="00776D0F"/>
    <w:rsid w:val="007774A1"/>
    <w:rsid w:val="00780B25"/>
    <w:rsid w:val="007833DD"/>
    <w:rsid w:val="00786330"/>
    <w:rsid w:val="00787895"/>
    <w:rsid w:val="007906A2"/>
    <w:rsid w:val="007928CD"/>
    <w:rsid w:val="007950CD"/>
    <w:rsid w:val="00796F78"/>
    <w:rsid w:val="00797108"/>
    <w:rsid w:val="007A143B"/>
    <w:rsid w:val="007A329D"/>
    <w:rsid w:val="007A5D37"/>
    <w:rsid w:val="007B05B2"/>
    <w:rsid w:val="007B1559"/>
    <w:rsid w:val="007B2053"/>
    <w:rsid w:val="007B3CA6"/>
    <w:rsid w:val="007B4826"/>
    <w:rsid w:val="007B5AF1"/>
    <w:rsid w:val="007B67E0"/>
    <w:rsid w:val="007C3ADD"/>
    <w:rsid w:val="007C65BC"/>
    <w:rsid w:val="007C730D"/>
    <w:rsid w:val="007D02C3"/>
    <w:rsid w:val="007D0D09"/>
    <w:rsid w:val="007D2527"/>
    <w:rsid w:val="007D663D"/>
    <w:rsid w:val="007E2CD1"/>
    <w:rsid w:val="007E691F"/>
    <w:rsid w:val="007E7EF8"/>
    <w:rsid w:val="007F0E3C"/>
    <w:rsid w:val="007F1764"/>
    <w:rsid w:val="007F4D39"/>
    <w:rsid w:val="007F4FAA"/>
    <w:rsid w:val="0080510C"/>
    <w:rsid w:val="008112B4"/>
    <w:rsid w:val="00812DAD"/>
    <w:rsid w:val="00813996"/>
    <w:rsid w:val="008170F6"/>
    <w:rsid w:val="0081792D"/>
    <w:rsid w:val="00817BAE"/>
    <w:rsid w:val="00820058"/>
    <w:rsid w:val="00820D41"/>
    <w:rsid w:val="00821694"/>
    <w:rsid w:val="00822B6A"/>
    <w:rsid w:val="00823568"/>
    <w:rsid w:val="00823E8F"/>
    <w:rsid w:val="008253DB"/>
    <w:rsid w:val="008258BD"/>
    <w:rsid w:val="008302E3"/>
    <w:rsid w:val="00837489"/>
    <w:rsid w:val="0084122F"/>
    <w:rsid w:val="008427BE"/>
    <w:rsid w:val="00842A8B"/>
    <w:rsid w:val="00843D8C"/>
    <w:rsid w:val="0084405D"/>
    <w:rsid w:val="00844DAA"/>
    <w:rsid w:val="00855D3B"/>
    <w:rsid w:val="00857E40"/>
    <w:rsid w:val="00860A30"/>
    <w:rsid w:val="00861641"/>
    <w:rsid w:val="00861CEA"/>
    <w:rsid w:val="0086373A"/>
    <w:rsid w:val="008639D0"/>
    <w:rsid w:val="008658CA"/>
    <w:rsid w:val="0086734B"/>
    <w:rsid w:val="008675AF"/>
    <w:rsid w:val="0086798C"/>
    <w:rsid w:val="0087087D"/>
    <w:rsid w:val="008717D2"/>
    <w:rsid w:val="00872692"/>
    <w:rsid w:val="00876F40"/>
    <w:rsid w:val="008817BB"/>
    <w:rsid w:val="00882C20"/>
    <w:rsid w:val="00882E00"/>
    <w:rsid w:val="008859C6"/>
    <w:rsid w:val="008902A5"/>
    <w:rsid w:val="00893F2E"/>
    <w:rsid w:val="0089435B"/>
    <w:rsid w:val="00894CCB"/>
    <w:rsid w:val="008972D6"/>
    <w:rsid w:val="00897A29"/>
    <w:rsid w:val="00897FD2"/>
    <w:rsid w:val="008A19E8"/>
    <w:rsid w:val="008A26E6"/>
    <w:rsid w:val="008A62A8"/>
    <w:rsid w:val="008B013A"/>
    <w:rsid w:val="008B053A"/>
    <w:rsid w:val="008B0C6B"/>
    <w:rsid w:val="008B2408"/>
    <w:rsid w:val="008B306C"/>
    <w:rsid w:val="008B517E"/>
    <w:rsid w:val="008B6671"/>
    <w:rsid w:val="008B70CC"/>
    <w:rsid w:val="008B7286"/>
    <w:rsid w:val="008B76CC"/>
    <w:rsid w:val="008C23BA"/>
    <w:rsid w:val="008C2741"/>
    <w:rsid w:val="008C453C"/>
    <w:rsid w:val="008C5275"/>
    <w:rsid w:val="008D21CA"/>
    <w:rsid w:val="008D4A05"/>
    <w:rsid w:val="008D5E1E"/>
    <w:rsid w:val="008E7413"/>
    <w:rsid w:val="008E77EB"/>
    <w:rsid w:val="008F1DCB"/>
    <w:rsid w:val="008F4EED"/>
    <w:rsid w:val="008F74FD"/>
    <w:rsid w:val="008F781A"/>
    <w:rsid w:val="009012A9"/>
    <w:rsid w:val="00901B44"/>
    <w:rsid w:val="00902797"/>
    <w:rsid w:val="009028F3"/>
    <w:rsid w:val="00904D1B"/>
    <w:rsid w:val="0090581B"/>
    <w:rsid w:val="0090590C"/>
    <w:rsid w:val="00905A10"/>
    <w:rsid w:val="0090665D"/>
    <w:rsid w:val="0091435F"/>
    <w:rsid w:val="00916913"/>
    <w:rsid w:val="00917ACE"/>
    <w:rsid w:val="0092018F"/>
    <w:rsid w:val="00920662"/>
    <w:rsid w:val="00920FD7"/>
    <w:rsid w:val="009219DF"/>
    <w:rsid w:val="00922A5F"/>
    <w:rsid w:val="009230C9"/>
    <w:rsid w:val="0092314D"/>
    <w:rsid w:val="00923CA7"/>
    <w:rsid w:val="00924335"/>
    <w:rsid w:val="00925ED4"/>
    <w:rsid w:val="00927905"/>
    <w:rsid w:val="00931B1F"/>
    <w:rsid w:val="00932F0B"/>
    <w:rsid w:val="009352EF"/>
    <w:rsid w:val="00937D1D"/>
    <w:rsid w:val="00940012"/>
    <w:rsid w:val="00941869"/>
    <w:rsid w:val="00943ADF"/>
    <w:rsid w:val="00945E98"/>
    <w:rsid w:val="00946132"/>
    <w:rsid w:val="009534E6"/>
    <w:rsid w:val="00954509"/>
    <w:rsid w:val="00956093"/>
    <w:rsid w:val="00960CEC"/>
    <w:rsid w:val="00962FBC"/>
    <w:rsid w:val="00964CDD"/>
    <w:rsid w:val="00966143"/>
    <w:rsid w:val="00967AE5"/>
    <w:rsid w:val="009702A2"/>
    <w:rsid w:val="00976944"/>
    <w:rsid w:val="009826F9"/>
    <w:rsid w:val="009827EF"/>
    <w:rsid w:val="00983478"/>
    <w:rsid w:val="00983B88"/>
    <w:rsid w:val="0099046D"/>
    <w:rsid w:val="00992C9E"/>
    <w:rsid w:val="0099340A"/>
    <w:rsid w:val="009957F3"/>
    <w:rsid w:val="00995B1E"/>
    <w:rsid w:val="00997967"/>
    <w:rsid w:val="009A3AAA"/>
    <w:rsid w:val="009A746A"/>
    <w:rsid w:val="009B36C0"/>
    <w:rsid w:val="009B58BB"/>
    <w:rsid w:val="009B5CB2"/>
    <w:rsid w:val="009B75A0"/>
    <w:rsid w:val="009B79E3"/>
    <w:rsid w:val="009C029F"/>
    <w:rsid w:val="009C505A"/>
    <w:rsid w:val="009C57D8"/>
    <w:rsid w:val="009D0979"/>
    <w:rsid w:val="009D0A92"/>
    <w:rsid w:val="009D31D7"/>
    <w:rsid w:val="009D4242"/>
    <w:rsid w:val="009D49B8"/>
    <w:rsid w:val="009D4FC2"/>
    <w:rsid w:val="009D5B61"/>
    <w:rsid w:val="009D5FDE"/>
    <w:rsid w:val="009D626B"/>
    <w:rsid w:val="009D7C37"/>
    <w:rsid w:val="009E166C"/>
    <w:rsid w:val="009E4615"/>
    <w:rsid w:val="009E4A25"/>
    <w:rsid w:val="009E50BD"/>
    <w:rsid w:val="009E7A2A"/>
    <w:rsid w:val="009F0207"/>
    <w:rsid w:val="009F0648"/>
    <w:rsid w:val="009F08E1"/>
    <w:rsid w:val="009F33EC"/>
    <w:rsid w:val="009F360C"/>
    <w:rsid w:val="009F375C"/>
    <w:rsid w:val="009F3939"/>
    <w:rsid w:val="009F48C2"/>
    <w:rsid w:val="009F6790"/>
    <w:rsid w:val="009F7345"/>
    <w:rsid w:val="00A00708"/>
    <w:rsid w:val="00A015FD"/>
    <w:rsid w:val="00A01DAE"/>
    <w:rsid w:val="00A02361"/>
    <w:rsid w:val="00A03C34"/>
    <w:rsid w:val="00A03DB7"/>
    <w:rsid w:val="00A048DE"/>
    <w:rsid w:val="00A04F92"/>
    <w:rsid w:val="00A0616E"/>
    <w:rsid w:val="00A07C0F"/>
    <w:rsid w:val="00A128B0"/>
    <w:rsid w:val="00A130AB"/>
    <w:rsid w:val="00A13ECB"/>
    <w:rsid w:val="00A1424B"/>
    <w:rsid w:val="00A15EBB"/>
    <w:rsid w:val="00A16440"/>
    <w:rsid w:val="00A16FFF"/>
    <w:rsid w:val="00A1703D"/>
    <w:rsid w:val="00A171A1"/>
    <w:rsid w:val="00A20B43"/>
    <w:rsid w:val="00A239D0"/>
    <w:rsid w:val="00A24FAC"/>
    <w:rsid w:val="00A24FC8"/>
    <w:rsid w:val="00A267DB"/>
    <w:rsid w:val="00A30301"/>
    <w:rsid w:val="00A3057A"/>
    <w:rsid w:val="00A30A5B"/>
    <w:rsid w:val="00A31C7E"/>
    <w:rsid w:val="00A3213E"/>
    <w:rsid w:val="00A32E0B"/>
    <w:rsid w:val="00A33838"/>
    <w:rsid w:val="00A33F2C"/>
    <w:rsid w:val="00A3675A"/>
    <w:rsid w:val="00A4061C"/>
    <w:rsid w:val="00A427B5"/>
    <w:rsid w:val="00A44559"/>
    <w:rsid w:val="00A4479C"/>
    <w:rsid w:val="00A54821"/>
    <w:rsid w:val="00A54D67"/>
    <w:rsid w:val="00A56BF3"/>
    <w:rsid w:val="00A65FB9"/>
    <w:rsid w:val="00A70BC2"/>
    <w:rsid w:val="00A71209"/>
    <w:rsid w:val="00A746CC"/>
    <w:rsid w:val="00A75179"/>
    <w:rsid w:val="00A75E78"/>
    <w:rsid w:val="00A80B7E"/>
    <w:rsid w:val="00A82808"/>
    <w:rsid w:val="00A84E72"/>
    <w:rsid w:val="00A86F45"/>
    <w:rsid w:val="00A9091E"/>
    <w:rsid w:val="00A925D2"/>
    <w:rsid w:val="00A96715"/>
    <w:rsid w:val="00AA2A88"/>
    <w:rsid w:val="00AA5868"/>
    <w:rsid w:val="00AA7204"/>
    <w:rsid w:val="00AB10DF"/>
    <w:rsid w:val="00AB21A6"/>
    <w:rsid w:val="00AB4355"/>
    <w:rsid w:val="00AB45E5"/>
    <w:rsid w:val="00AB46AF"/>
    <w:rsid w:val="00AB4BC8"/>
    <w:rsid w:val="00AB7607"/>
    <w:rsid w:val="00AB7A1C"/>
    <w:rsid w:val="00AC5694"/>
    <w:rsid w:val="00AC58AF"/>
    <w:rsid w:val="00AD679D"/>
    <w:rsid w:val="00AD69D0"/>
    <w:rsid w:val="00AE1788"/>
    <w:rsid w:val="00AE2968"/>
    <w:rsid w:val="00AE29DC"/>
    <w:rsid w:val="00AE3F4E"/>
    <w:rsid w:val="00AE65F2"/>
    <w:rsid w:val="00AF0CF8"/>
    <w:rsid w:val="00AF5C45"/>
    <w:rsid w:val="00AF67EB"/>
    <w:rsid w:val="00B00C74"/>
    <w:rsid w:val="00B00DA0"/>
    <w:rsid w:val="00B00F78"/>
    <w:rsid w:val="00B01F70"/>
    <w:rsid w:val="00B03559"/>
    <w:rsid w:val="00B071E1"/>
    <w:rsid w:val="00B134E9"/>
    <w:rsid w:val="00B15840"/>
    <w:rsid w:val="00B17FC6"/>
    <w:rsid w:val="00B207E3"/>
    <w:rsid w:val="00B21823"/>
    <w:rsid w:val="00B24B5F"/>
    <w:rsid w:val="00B25C8A"/>
    <w:rsid w:val="00B3134E"/>
    <w:rsid w:val="00B330CB"/>
    <w:rsid w:val="00B33907"/>
    <w:rsid w:val="00B33CA2"/>
    <w:rsid w:val="00B34014"/>
    <w:rsid w:val="00B35A9C"/>
    <w:rsid w:val="00B37046"/>
    <w:rsid w:val="00B41B99"/>
    <w:rsid w:val="00B4287B"/>
    <w:rsid w:val="00B44103"/>
    <w:rsid w:val="00B445EC"/>
    <w:rsid w:val="00B4567F"/>
    <w:rsid w:val="00B458CC"/>
    <w:rsid w:val="00B460D7"/>
    <w:rsid w:val="00B46856"/>
    <w:rsid w:val="00B47EC3"/>
    <w:rsid w:val="00B51D9E"/>
    <w:rsid w:val="00B5258E"/>
    <w:rsid w:val="00B551FE"/>
    <w:rsid w:val="00B57629"/>
    <w:rsid w:val="00B57925"/>
    <w:rsid w:val="00B6160D"/>
    <w:rsid w:val="00B61662"/>
    <w:rsid w:val="00B6214D"/>
    <w:rsid w:val="00B652E4"/>
    <w:rsid w:val="00B67340"/>
    <w:rsid w:val="00B70D45"/>
    <w:rsid w:val="00B7173F"/>
    <w:rsid w:val="00B75FFB"/>
    <w:rsid w:val="00B76B68"/>
    <w:rsid w:val="00B76CB8"/>
    <w:rsid w:val="00B80109"/>
    <w:rsid w:val="00B8606E"/>
    <w:rsid w:val="00B861FD"/>
    <w:rsid w:val="00B90ED3"/>
    <w:rsid w:val="00B9416B"/>
    <w:rsid w:val="00B94C3C"/>
    <w:rsid w:val="00B95DF7"/>
    <w:rsid w:val="00BA08DE"/>
    <w:rsid w:val="00BA0E40"/>
    <w:rsid w:val="00BA1A22"/>
    <w:rsid w:val="00BA3661"/>
    <w:rsid w:val="00BA3EFA"/>
    <w:rsid w:val="00BA477F"/>
    <w:rsid w:val="00BB0602"/>
    <w:rsid w:val="00BB0A38"/>
    <w:rsid w:val="00BB1A49"/>
    <w:rsid w:val="00BB2E51"/>
    <w:rsid w:val="00BB43D1"/>
    <w:rsid w:val="00BB63C4"/>
    <w:rsid w:val="00BB7528"/>
    <w:rsid w:val="00BC0382"/>
    <w:rsid w:val="00BC14CF"/>
    <w:rsid w:val="00BC42CC"/>
    <w:rsid w:val="00BC4F3F"/>
    <w:rsid w:val="00BD13D4"/>
    <w:rsid w:val="00BD154D"/>
    <w:rsid w:val="00BD2D3B"/>
    <w:rsid w:val="00BD5316"/>
    <w:rsid w:val="00BE51ED"/>
    <w:rsid w:val="00BE5AD4"/>
    <w:rsid w:val="00BF01B0"/>
    <w:rsid w:val="00BF048F"/>
    <w:rsid w:val="00BF224A"/>
    <w:rsid w:val="00BF49FF"/>
    <w:rsid w:val="00BF4BAA"/>
    <w:rsid w:val="00BF50F2"/>
    <w:rsid w:val="00BF68A3"/>
    <w:rsid w:val="00C010EA"/>
    <w:rsid w:val="00C036B9"/>
    <w:rsid w:val="00C120BB"/>
    <w:rsid w:val="00C1233D"/>
    <w:rsid w:val="00C13561"/>
    <w:rsid w:val="00C1370A"/>
    <w:rsid w:val="00C13795"/>
    <w:rsid w:val="00C139E6"/>
    <w:rsid w:val="00C15BED"/>
    <w:rsid w:val="00C20480"/>
    <w:rsid w:val="00C23932"/>
    <w:rsid w:val="00C2480F"/>
    <w:rsid w:val="00C24E93"/>
    <w:rsid w:val="00C271C4"/>
    <w:rsid w:val="00C3014B"/>
    <w:rsid w:val="00C308E3"/>
    <w:rsid w:val="00C32DD0"/>
    <w:rsid w:val="00C36AFF"/>
    <w:rsid w:val="00C405FE"/>
    <w:rsid w:val="00C40D4F"/>
    <w:rsid w:val="00C41BAE"/>
    <w:rsid w:val="00C458D4"/>
    <w:rsid w:val="00C47CA6"/>
    <w:rsid w:val="00C50D02"/>
    <w:rsid w:val="00C53F17"/>
    <w:rsid w:val="00C551C2"/>
    <w:rsid w:val="00C55875"/>
    <w:rsid w:val="00C621D1"/>
    <w:rsid w:val="00C63561"/>
    <w:rsid w:val="00C6487A"/>
    <w:rsid w:val="00C7045B"/>
    <w:rsid w:val="00C71B19"/>
    <w:rsid w:val="00C729C4"/>
    <w:rsid w:val="00C76F0D"/>
    <w:rsid w:val="00C77D83"/>
    <w:rsid w:val="00C80F8A"/>
    <w:rsid w:val="00C812D0"/>
    <w:rsid w:val="00C86505"/>
    <w:rsid w:val="00C9372A"/>
    <w:rsid w:val="00CA2EB6"/>
    <w:rsid w:val="00CA66B3"/>
    <w:rsid w:val="00CA6A02"/>
    <w:rsid w:val="00CB07D5"/>
    <w:rsid w:val="00CB1951"/>
    <w:rsid w:val="00CB2577"/>
    <w:rsid w:val="00CB4CA3"/>
    <w:rsid w:val="00CB5AEA"/>
    <w:rsid w:val="00CC04FB"/>
    <w:rsid w:val="00CC061E"/>
    <w:rsid w:val="00CD0753"/>
    <w:rsid w:val="00CD08F4"/>
    <w:rsid w:val="00CD3299"/>
    <w:rsid w:val="00CD6319"/>
    <w:rsid w:val="00CD7153"/>
    <w:rsid w:val="00CE2535"/>
    <w:rsid w:val="00CE375E"/>
    <w:rsid w:val="00CE41B5"/>
    <w:rsid w:val="00CE6ACF"/>
    <w:rsid w:val="00CE7A4F"/>
    <w:rsid w:val="00CF1212"/>
    <w:rsid w:val="00CF12E0"/>
    <w:rsid w:val="00CF20D1"/>
    <w:rsid w:val="00CF325A"/>
    <w:rsid w:val="00CF3EC3"/>
    <w:rsid w:val="00CF4975"/>
    <w:rsid w:val="00CF63A7"/>
    <w:rsid w:val="00CF7888"/>
    <w:rsid w:val="00D033F7"/>
    <w:rsid w:val="00D037CB"/>
    <w:rsid w:val="00D0394D"/>
    <w:rsid w:val="00D06C03"/>
    <w:rsid w:val="00D10804"/>
    <w:rsid w:val="00D12870"/>
    <w:rsid w:val="00D12BB2"/>
    <w:rsid w:val="00D152DE"/>
    <w:rsid w:val="00D17B58"/>
    <w:rsid w:val="00D23FF6"/>
    <w:rsid w:val="00D31A83"/>
    <w:rsid w:val="00D33054"/>
    <w:rsid w:val="00D3490B"/>
    <w:rsid w:val="00D35952"/>
    <w:rsid w:val="00D40871"/>
    <w:rsid w:val="00D4091D"/>
    <w:rsid w:val="00D5066A"/>
    <w:rsid w:val="00D52845"/>
    <w:rsid w:val="00D53C68"/>
    <w:rsid w:val="00D5651C"/>
    <w:rsid w:val="00D56E13"/>
    <w:rsid w:val="00D57FC4"/>
    <w:rsid w:val="00D61071"/>
    <w:rsid w:val="00D62A78"/>
    <w:rsid w:val="00D64B6D"/>
    <w:rsid w:val="00D660E0"/>
    <w:rsid w:val="00D70501"/>
    <w:rsid w:val="00D70DA8"/>
    <w:rsid w:val="00D71194"/>
    <w:rsid w:val="00D72207"/>
    <w:rsid w:val="00D76AE4"/>
    <w:rsid w:val="00D81D21"/>
    <w:rsid w:val="00D83752"/>
    <w:rsid w:val="00D87A1D"/>
    <w:rsid w:val="00D87B0F"/>
    <w:rsid w:val="00D9235A"/>
    <w:rsid w:val="00D94D6E"/>
    <w:rsid w:val="00D95D2D"/>
    <w:rsid w:val="00DA2449"/>
    <w:rsid w:val="00DA25AD"/>
    <w:rsid w:val="00DA49F2"/>
    <w:rsid w:val="00DB1BEC"/>
    <w:rsid w:val="00DB35BA"/>
    <w:rsid w:val="00DB3E0F"/>
    <w:rsid w:val="00DB67F8"/>
    <w:rsid w:val="00DC11BB"/>
    <w:rsid w:val="00DC1FDC"/>
    <w:rsid w:val="00DC3C9E"/>
    <w:rsid w:val="00DC59F3"/>
    <w:rsid w:val="00DC647D"/>
    <w:rsid w:val="00DC70D0"/>
    <w:rsid w:val="00DD13DE"/>
    <w:rsid w:val="00DD2A6C"/>
    <w:rsid w:val="00DD2DAB"/>
    <w:rsid w:val="00DD2ED2"/>
    <w:rsid w:val="00DD5317"/>
    <w:rsid w:val="00DD5728"/>
    <w:rsid w:val="00DE1F4A"/>
    <w:rsid w:val="00DE369B"/>
    <w:rsid w:val="00DE4397"/>
    <w:rsid w:val="00DE5421"/>
    <w:rsid w:val="00DE64AD"/>
    <w:rsid w:val="00DF1563"/>
    <w:rsid w:val="00DF1838"/>
    <w:rsid w:val="00DF1B09"/>
    <w:rsid w:val="00DF7CB6"/>
    <w:rsid w:val="00E001CA"/>
    <w:rsid w:val="00E07FD3"/>
    <w:rsid w:val="00E11826"/>
    <w:rsid w:val="00E158D9"/>
    <w:rsid w:val="00E16703"/>
    <w:rsid w:val="00E16905"/>
    <w:rsid w:val="00E21BCD"/>
    <w:rsid w:val="00E24DB8"/>
    <w:rsid w:val="00E25344"/>
    <w:rsid w:val="00E266CE"/>
    <w:rsid w:val="00E31A11"/>
    <w:rsid w:val="00E325DF"/>
    <w:rsid w:val="00E3468F"/>
    <w:rsid w:val="00E35E5C"/>
    <w:rsid w:val="00E3765A"/>
    <w:rsid w:val="00E41FC6"/>
    <w:rsid w:val="00E43AE8"/>
    <w:rsid w:val="00E45E84"/>
    <w:rsid w:val="00E467C6"/>
    <w:rsid w:val="00E46C13"/>
    <w:rsid w:val="00E478C9"/>
    <w:rsid w:val="00E50672"/>
    <w:rsid w:val="00E5126C"/>
    <w:rsid w:val="00E64C47"/>
    <w:rsid w:val="00E6531F"/>
    <w:rsid w:val="00E66777"/>
    <w:rsid w:val="00E72D8A"/>
    <w:rsid w:val="00E7321E"/>
    <w:rsid w:val="00E75077"/>
    <w:rsid w:val="00E80EC3"/>
    <w:rsid w:val="00E82E45"/>
    <w:rsid w:val="00E82F0E"/>
    <w:rsid w:val="00E87783"/>
    <w:rsid w:val="00E87B21"/>
    <w:rsid w:val="00E90B39"/>
    <w:rsid w:val="00E934ED"/>
    <w:rsid w:val="00E95D8D"/>
    <w:rsid w:val="00E96282"/>
    <w:rsid w:val="00EA07F3"/>
    <w:rsid w:val="00EA1BE8"/>
    <w:rsid w:val="00EA39B8"/>
    <w:rsid w:val="00EA6315"/>
    <w:rsid w:val="00EA6691"/>
    <w:rsid w:val="00EB17C6"/>
    <w:rsid w:val="00EB316C"/>
    <w:rsid w:val="00EB32E8"/>
    <w:rsid w:val="00EB417F"/>
    <w:rsid w:val="00EB6AEF"/>
    <w:rsid w:val="00EC0936"/>
    <w:rsid w:val="00EC1CCA"/>
    <w:rsid w:val="00EC6DF6"/>
    <w:rsid w:val="00EC7489"/>
    <w:rsid w:val="00EC7CA4"/>
    <w:rsid w:val="00ED160B"/>
    <w:rsid w:val="00ED28A1"/>
    <w:rsid w:val="00ED3F3B"/>
    <w:rsid w:val="00ED4F78"/>
    <w:rsid w:val="00ED5464"/>
    <w:rsid w:val="00ED56E2"/>
    <w:rsid w:val="00EE1ABC"/>
    <w:rsid w:val="00EE1D28"/>
    <w:rsid w:val="00EE2CEC"/>
    <w:rsid w:val="00EE389B"/>
    <w:rsid w:val="00EF0471"/>
    <w:rsid w:val="00EF5032"/>
    <w:rsid w:val="00F004B1"/>
    <w:rsid w:val="00F077FA"/>
    <w:rsid w:val="00F07ABF"/>
    <w:rsid w:val="00F10251"/>
    <w:rsid w:val="00F106C6"/>
    <w:rsid w:val="00F12240"/>
    <w:rsid w:val="00F12DBF"/>
    <w:rsid w:val="00F14E5E"/>
    <w:rsid w:val="00F15409"/>
    <w:rsid w:val="00F17764"/>
    <w:rsid w:val="00F20926"/>
    <w:rsid w:val="00F21D6C"/>
    <w:rsid w:val="00F22BB7"/>
    <w:rsid w:val="00F244F8"/>
    <w:rsid w:val="00F24DA5"/>
    <w:rsid w:val="00F267C7"/>
    <w:rsid w:val="00F30BE6"/>
    <w:rsid w:val="00F32ADC"/>
    <w:rsid w:val="00F37A38"/>
    <w:rsid w:val="00F424FB"/>
    <w:rsid w:val="00F43343"/>
    <w:rsid w:val="00F443BF"/>
    <w:rsid w:val="00F449BD"/>
    <w:rsid w:val="00F455AB"/>
    <w:rsid w:val="00F46013"/>
    <w:rsid w:val="00F4630E"/>
    <w:rsid w:val="00F47678"/>
    <w:rsid w:val="00F5063B"/>
    <w:rsid w:val="00F52C7E"/>
    <w:rsid w:val="00F52F5E"/>
    <w:rsid w:val="00F55D63"/>
    <w:rsid w:val="00F571B5"/>
    <w:rsid w:val="00F57B14"/>
    <w:rsid w:val="00F602C0"/>
    <w:rsid w:val="00F62BD3"/>
    <w:rsid w:val="00F62E76"/>
    <w:rsid w:val="00F63161"/>
    <w:rsid w:val="00F64624"/>
    <w:rsid w:val="00F65062"/>
    <w:rsid w:val="00F65AD6"/>
    <w:rsid w:val="00F65CCA"/>
    <w:rsid w:val="00F65D6A"/>
    <w:rsid w:val="00F67D65"/>
    <w:rsid w:val="00F70680"/>
    <w:rsid w:val="00F70B14"/>
    <w:rsid w:val="00F71E43"/>
    <w:rsid w:val="00F72175"/>
    <w:rsid w:val="00F74350"/>
    <w:rsid w:val="00F74496"/>
    <w:rsid w:val="00F744CF"/>
    <w:rsid w:val="00F81282"/>
    <w:rsid w:val="00F819CC"/>
    <w:rsid w:val="00F83225"/>
    <w:rsid w:val="00F83F07"/>
    <w:rsid w:val="00F84B56"/>
    <w:rsid w:val="00F86A9C"/>
    <w:rsid w:val="00F9208F"/>
    <w:rsid w:val="00F97FBE"/>
    <w:rsid w:val="00FA09C9"/>
    <w:rsid w:val="00FA1D51"/>
    <w:rsid w:val="00FA2679"/>
    <w:rsid w:val="00FA2B10"/>
    <w:rsid w:val="00FA4469"/>
    <w:rsid w:val="00FA615C"/>
    <w:rsid w:val="00FA727E"/>
    <w:rsid w:val="00FA7CE1"/>
    <w:rsid w:val="00FB3273"/>
    <w:rsid w:val="00FB55E1"/>
    <w:rsid w:val="00FB5D10"/>
    <w:rsid w:val="00FC3FEF"/>
    <w:rsid w:val="00FC4793"/>
    <w:rsid w:val="00FC7599"/>
    <w:rsid w:val="00FD0740"/>
    <w:rsid w:val="00FD1B18"/>
    <w:rsid w:val="00FE3E9D"/>
    <w:rsid w:val="00FE449E"/>
    <w:rsid w:val="00FE465D"/>
    <w:rsid w:val="00FE4D1F"/>
    <w:rsid w:val="00FE7396"/>
    <w:rsid w:val="00FE799F"/>
    <w:rsid w:val="00FF41DB"/>
    <w:rsid w:val="00FF423B"/>
    <w:rsid w:val="00FF611A"/>
    <w:rsid w:val="012990D1"/>
    <w:rsid w:val="04A6ACAC"/>
    <w:rsid w:val="09DDE817"/>
    <w:rsid w:val="09F22045"/>
    <w:rsid w:val="0BC08AF5"/>
    <w:rsid w:val="0D871DA5"/>
    <w:rsid w:val="0FEF1DE1"/>
    <w:rsid w:val="110DCDEB"/>
    <w:rsid w:val="136FFA41"/>
    <w:rsid w:val="14DAA845"/>
    <w:rsid w:val="183EC3A3"/>
    <w:rsid w:val="1897C0F3"/>
    <w:rsid w:val="197EC778"/>
    <w:rsid w:val="1AB986A4"/>
    <w:rsid w:val="1D95D42F"/>
    <w:rsid w:val="24886C39"/>
    <w:rsid w:val="275A083E"/>
    <w:rsid w:val="28CAC5DB"/>
    <w:rsid w:val="2A8E8404"/>
    <w:rsid w:val="2AD95A57"/>
    <w:rsid w:val="2D0EAC43"/>
    <w:rsid w:val="2E4B7975"/>
    <w:rsid w:val="3526DA57"/>
    <w:rsid w:val="386A4C57"/>
    <w:rsid w:val="44B1F03A"/>
    <w:rsid w:val="459DFE5F"/>
    <w:rsid w:val="4B7205FC"/>
    <w:rsid w:val="4BA855E7"/>
    <w:rsid w:val="4F5A93E1"/>
    <w:rsid w:val="4FAD8711"/>
    <w:rsid w:val="50A593E5"/>
    <w:rsid w:val="54FB720F"/>
    <w:rsid w:val="554AD32B"/>
    <w:rsid w:val="57A509F3"/>
    <w:rsid w:val="584B73E6"/>
    <w:rsid w:val="58B00903"/>
    <w:rsid w:val="5CC6ADFD"/>
    <w:rsid w:val="5F2457E3"/>
    <w:rsid w:val="628AA3E7"/>
    <w:rsid w:val="63EDE816"/>
    <w:rsid w:val="677DC6E6"/>
    <w:rsid w:val="67FC18D5"/>
    <w:rsid w:val="687B2F96"/>
    <w:rsid w:val="6C7FD934"/>
    <w:rsid w:val="6D5FD717"/>
    <w:rsid w:val="6EA520F0"/>
    <w:rsid w:val="6EDACB99"/>
    <w:rsid w:val="72E1A6E4"/>
    <w:rsid w:val="766684DC"/>
    <w:rsid w:val="78093682"/>
    <w:rsid w:val="79C85EB6"/>
    <w:rsid w:val="7A759E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491156"/>
  <w15:chartTrackingRefBased/>
  <w15:docId w15:val="{403BA95E-BCF2-40B1-A672-547CB9DBF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6AA"/>
  </w:style>
  <w:style w:type="paragraph" w:styleId="Heading1">
    <w:name w:val="heading 1"/>
    <w:basedOn w:val="Normal"/>
    <w:next w:val="Normal"/>
    <w:link w:val="Heading1Char"/>
    <w:uiPriority w:val="9"/>
    <w:qFormat/>
    <w:rsid w:val="008B0C6B"/>
    <w:pPr>
      <w:pageBreakBefore/>
      <w:spacing w:after="240" w:line="300" w:lineRule="atLeast"/>
      <w:outlineLvl w:val="0"/>
    </w:pPr>
    <w:rPr>
      <w:b/>
      <w:color w:val="002554" w:themeColor="text2"/>
      <w:sz w:val="40"/>
      <w:szCs w:val="28"/>
    </w:rPr>
  </w:style>
  <w:style w:type="paragraph" w:styleId="Heading2">
    <w:name w:val="heading 2"/>
    <w:basedOn w:val="Normal"/>
    <w:next w:val="Normal"/>
    <w:link w:val="Heading2Char"/>
    <w:uiPriority w:val="9"/>
    <w:unhideWhenUsed/>
    <w:qFormat/>
    <w:rsid w:val="008B0C6B"/>
    <w:pPr>
      <w:keepNext/>
      <w:spacing w:before="240" w:after="240" w:line="400" w:lineRule="atLeast"/>
      <w:outlineLvl w:val="1"/>
    </w:pPr>
    <w:rPr>
      <w:b/>
      <w:color w:val="002554" w:themeColor="text2"/>
      <w:sz w:val="28"/>
      <w:szCs w:val="28"/>
    </w:rPr>
  </w:style>
  <w:style w:type="paragraph" w:styleId="Heading3">
    <w:name w:val="heading 3"/>
    <w:basedOn w:val="BodyText"/>
    <w:next w:val="Normal"/>
    <w:link w:val="Heading3Char"/>
    <w:uiPriority w:val="9"/>
    <w:unhideWhenUsed/>
    <w:qFormat/>
    <w:rsid w:val="008B0C6B"/>
    <w:pPr>
      <w:keepNext/>
      <w:spacing w:before="240" w:after="120" w:line="240" w:lineRule="auto"/>
      <w:outlineLvl w:val="2"/>
    </w:pPr>
    <w:rPr>
      <w:b/>
      <w:color w:val="002554" w:themeColor="text2"/>
      <w:sz w:val="24"/>
      <w:szCs w:val="24"/>
    </w:rPr>
  </w:style>
  <w:style w:type="paragraph" w:styleId="Heading4">
    <w:name w:val="heading 4"/>
    <w:basedOn w:val="Normal"/>
    <w:next w:val="Normal"/>
    <w:link w:val="Heading4Char"/>
    <w:uiPriority w:val="9"/>
    <w:unhideWhenUsed/>
    <w:qFormat/>
    <w:rsid w:val="007B2053"/>
    <w:pPr>
      <w:outlineLvl w:val="3"/>
    </w:pPr>
    <w:rPr>
      <w:b/>
      <w:color w:val="002554"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7906A2"/>
    <w:pPr>
      <w:spacing w:after="240" w:line="300" w:lineRule="atLeast"/>
    </w:pPr>
  </w:style>
  <w:style w:type="character" w:customStyle="1" w:styleId="BodyTextChar">
    <w:name w:val="Body Text Char"/>
    <w:basedOn w:val="DefaultParagraphFont"/>
    <w:link w:val="BodyText"/>
    <w:uiPriority w:val="99"/>
    <w:rsid w:val="007906A2"/>
  </w:style>
  <w:style w:type="character" w:customStyle="1" w:styleId="Heading1Char">
    <w:name w:val="Heading 1 Char"/>
    <w:basedOn w:val="DefaultParagraphFont"/>
    <w:link w:val="Heading1"/>
    <w:uiPriority w:val="9"/>
    <w:rsid w:val="008B0C6B"/>
    <w:rPr>
      <w:b/>
      <w:color w:val="002554" w:themeColor="text2"/>
      <w:sz w:val="40"/>
      <w:szCs w:val="28"/>
    </w:rPr>
  </w:style>
  <w:style w:type="character" w:customStyle="1" w:styleId="Heading2Char">
    <w:name w:val="Heading 2 Char"/>
    <w:basedOn w:val="DefaultParagraphFont"/>
    <w:link w:val="Heading2"/>
    <w:uiPriority w:val="9"/>
    <w:rsid w:val="008B0C6B"/>
    <w:rPr>
      <w:b/>
      <w:color w:val="002554" w:themeColor="text2"/>
      <w:sz w:val="28"/>
      <w:szCs w:val="28"/>
    </w:rPr>
  </w:style>
  <w:style w:type="character" w:customStyle="1" w:styleId="Heading3Char">
    <w:name w:val="Heading 3 Char"/>
    <w:basedOn w:val="DefaultParagraphFont"/>
    <w:link w:val="Heading3"/>
    <w:uiPriority w:val="9"/>
    <w:rsid w:val="008B0C6B"/>
    <w:rPr>
      <w:b/>
      <w:color w:val="002554" w:themeColor="text2"/>
      <w:sz w:val="24"/>
      <w:szCs w:val="24"/>
    </w:rPr>
  </w:style>
  <w:style w:type="paragraph" w:styleId="BodyTextIndent">
    <w:name w:val="Body Text Indent"/>
    <w:basedOn w:val="Normal"/>
    <w:link w:val="BodyTextIndentChar"/>
    <w:uiPriority w:val="99"/>
    <w:unhideWhenUsed/>
    <w:qFormat/>
    <w:rsid w:val="007906A2"/>
    <w:pPr>
      <w:spacing w:after="240" w:line="300" w:lineRule="atLeast"/>
      <w:ind w:left="284"/>
    </w:pPr>
  </w:style>
  <w:style w:type="character" w:customStyle="1" w:styleId="BodyTextIndentChar">
    <w:name w:val="Body Text Indent Char"/>
    <w:basedOn w:val="DefaultParagraphFont"/>
    <w:link w:val="BodyTextIndent"/>
    <w:uiPriority w:val="99"/>
    <w:rsid w:val="007906A2"/>
  </w:style>
  <w:style w:type="paragraph" w:customStyle="1" w:styleId="Bullet1">
    <w:name w:val="Bullet 1"/>
    <w:basedOn w:val="Normal"/>
    <w:qFormat/>
    <w:rsid w:val="008972D6"/>
    <w:pPr>
      <w:numPr>
        <w:numId w:val="6"/>
      </w:numPr>
      <w:spacing w:after="240" w:line="300" w:lineRule="atLeast"/>
      <w:ind w:left="709" w:hanging="357"/>
    </w:pPr>
  </w:style>
  <w:style w:type="paragraph" w:customStyle="1" w:styleId="Bullet2">
    <w:name w:val="Bullet 2"/>
    <w:basedOn w:val="Normal"/>
    <w:qFormat/>
    <w:rsid w:val="008972D6"/>
    <w:pPr>
      <w:numPr>
        <w:ilvl w:val="1"/>
        <w:numId w:val="7"/>
      </w:numPr>
      <w:spacing w:after="240" w:line="300" w:lineRule="atLeast"/>
      <w:ind w:left="993" w:hanging="357"/>
    </w:pPr>
  </w:style>
  <w:style w:type="paragraph" w:customStyle="1" w:styleId="Numberedtext1">
    <w:name w:val="Numbered text 1"/>
    <w:basedOn w:val="Normal"/>
    <w:qFormat/>
    <w:rsid w:val="00F83F07"/>
    <w:pPr>
      <w:numPr>
        <w:numId w:val="8"/>
      </w:numPr>
      <w:spacing w:after="240" w:line="300" w:lineRule="atLeast"/>
      <w:ind w:left="357" w:hanging="357"/>
    </w:pPr>
  </w:style>
  <w:style w:type="paragraph" w:customStyle="1" w:styleId="Numberedtext2">
    <w:name w:val="Numbered text 2"/>
    <w:basedOn w:val="Normal"/>
    <w:qFormat/>
    <w:rsid w:val="00F83F07"/>
    <w:pPr>
      <w:numPr>
        <w:ilvl w:val="1"/>
        <w:numId w:val="8"/>
      </w:numPr>
      <w:spacing w:after="240" w:line="300" w:lineRule="atLeast"/>
      <w:ind w:left="714" w:hanging="357"/>
    </w:pPr>
  </w:style>
  <w:style w:type="paragraph" w:styleId="FootnoteText">
    <w:name w:val="footnote text"/>
    <w:basedOn w:val="Normal"/>
    <w:link w:val="FootnoteTextChar"/>
    <w:uiPriority w:val="99"/>
    <w:unhideWhenUsed/>
    <w:rsid w:val="0002767E"/>
    <w:pPr>
      <w:spacing w:after="240" w:line="240" w:lineRule="atLeast"/>
    </w:pPr>
    <w:rPr>
      <w:sz w:val="20"/>
      <w:szCs w:val="20"/>
    </w:rPr>
  </w:style>
  <w:style w:type="character" w:customStyle="1" w:styleId="FootnoteTextChar">
    <w:name w:val="Footnote Text Char"/>
    <w:basedOn w:val="DefaultParagraphFont"/>
    <w:link w:val="FootnoteText"/>
    <w:uiPriority w:val="99"/>
    <w:rsid w:val="0002767E"/>
    <w:rPr>
      <w:sz w:val="20"/>
      <w:szCs w:val="20"/>
    </w:rPr>
  </w:style>
  <w:style w:type="character" w:styleId="FootnoteReference">
    <w:name w:val="footnote reference"/>
    <w:basedOn w:val="DefaultParagraphFont"/>
    <w:uiPriority w:val="99"/>
    <w:unhideWhenUsed/>
    <w:rsid w:val="007906A2"/>
    <w:rPr>
      <w:vertAlign w:val="superscript"/>
    </w:rPr>
  </w:style>
  <w:style w:type="paragraph" w:customStyle="1" w:styleId="Boxedblueheading">
    <w:name w:val="Boxed blue heading"/>
    <w:basedOn w:val="Normal"/>
    <w:qFormat/>
    <w:rsid w:val="007906A2"/>
    <w:p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line="300" w:lineRule="atLeast"/>
      <w:ind w:left="284" w:right="284"/>
    </w:pPr>
    <w:rPr>
      <w:b/>
    </w:rPr>
  </w:style>
  <w:style w:type="paragraph" w:customStyle="1" w:styleId="Boxedbluetext">
    <w:name w:val="Boxed blue text"/>
    <w:basedOn w:val="Normal"/>
    <w:qFormat/>
    <w:rsid w:val="007906A2"/>
    <w:p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line="300" w:lineRule="atLeast"/>
      <w:ind w:left="284" w:right="284"/>
    </w:pPr>
  </w:style>
  <w:style w:type="paragraph" w:customStyle="1" w:styleId="Boxedbluebullet">
    <w:name w:val="Boxed blue bullet"/>
    <w:basedOn w:val="Normal"/>
    <w:qFormat/>
    <w:rsid w:val="00F83F07"/>
    <w:pPr>
      <w:numPr>
        <w:numId w:val="9"/>
      </w:num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line="300" w:lineRule="atLeast"/>
      <w:ind w:left="641" w:right="284" w:hanging="357"/>
    </w:pPr>
  </w:style>
  <w:style w:type="paragraph" w:customStyle="1" w:styleId="Boxedyellowheading">
    <w:name w:val="Boxed yellow heading"/>
    <w:basedOn w:val="Boxedblueheading"/>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paragraph" w:customStyle="1" w:styleId="Boxedyellowtext">
    <w:name w:val="Boxed yellow text"/>
    <w:basedOn w:val="Boxedbluetext"/>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paragraph" w:customStyle="1" w:styleId="Boxedyellowbullet">
    <w:name w:val="Boxed yellow bullet"/>
    <w:basedOn w:val="Boxedbluebullet"/>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table" w:styleId="TableGrid">
    <w:name w:val="Table Grid"/>
    <w:basedOn w:val="TableNormal"/>
    <w:uiPriority w:val="39"/>
    <w:rsid w:val="00790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7906A2"/>
    <w:pPr>
      <w:spacing w:after="0" w:line="240" w:lineRule="auto"/>
    </w:pPr>
    <w:tblPr>
      <w:tblStyleRowBandSize w:val="1"/>
      <w:tblStyleColBandSize w:val="1"/>
      <w:tblBorders>
        <w:top w:val="single" w:sz="4" w:space="0" w:color="002554" w:themeColor="accent1"/>
        <w:left w:val="single" w:sz="4" w:space="0" w:color="002554" w:themeColor="accent1"/>
        <w:bottom w:val="single" w:sz="4" w:space="0" w:color="002554" w:themeColor="accent1"/>
        <w:right w:val="single" w:sz="4" w:space="0" w:color="002554" w:themeColor="accent1"/>
      </w:tblBorders>
    </w:tblPr>
    <w:tblStylePr w:type="firstRow">
      <w:rPr>
        <w:b/>
        <w:bCs/>
        <w:color w:val="FFFFFF" w:themeColor="background1"/>
      </w:rPr>
      <w:tblPr/>
      <w:tcPr>
        <w:shd w:val="clear" w:color="auto" w:fill="002554" w:themeFill="accent1"/>
      </w:tcPr>
    </w:tblStylePr>
    <w:tblStylePr w:type="lastRow">
      <w:rPr>
        <w:b/>
        <w:bCs/>
      </w:rPr>
      <w:tblPr/>
      <w:tcPr>
        <w:tcBorders>
          <w:top w:val="double" w:sz="4" w:space="0" w:color="00255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554" w:themeColor="accent1"/>
          <w:right w:val="single" w:sz="4" w:space="0" w:color="002554" w:themeColor="accent1"/>
        </w:tcBorders>
      </w:tcPr>
    </w:tblStylePr>
    <w:tblStylePr w:type="band1Horz">
      <w:tblPr/>
      <w:tcPr>
        <w:tcBorders>
          <w:top w:val="single" w:sz="4" w:space="0" w:color="002554" w:themeColor="accent1"/>
          <w:bottom w:val="single" w:sz="4" w:space="0" w:color="00255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554" w:themeColor="accent1"/>
          <w:left w:val="nil"/>
        </w:tcBorders>
      </w:tcPr>
    </w:tblStylePr>
    <w:tblStylePr w:type="swCell">
      <w:tblPr/>
      <w:tcPr>
        <w:tcBorders>
          <w:top w:val="double" w:sz="4" w:space="0" w:color="002554" w:themeColor="accent1"/>
          <w:right w:val="nil"/>
        </w:tcBorders>
      </w:tcPr>
    </w:tblStylePr>
  </w:style>
  <w:style w:type="table" w:styleId="ListTable3-Accent3">
    <w:name w:val="List Table 3 Accent 3"/>
    <w:basedOn w:val="TableNormal"/>
    <w:uiPriority w:val="48"/>
    <w:rsid w:val="007906A2"/>
    <w:pPr>
      <w:spacing w:after="0" w:line="240" w:lineRule="auto"/>
    </w:pPr>
    <w:tblPr>
      <w:tblStyleRowBandSize w:val="1"/>
      <w:tblStyleColBandSize w:val="1"/>
      <w:tblBorders>
        <w:top w:val="single" w:sz="4" w:space="0" w:color="002554" w:themeColor="accent3"/>
        <w:left w:val="single" w:sz="4" w:space="0" w:color="002554" w:themeColor="accent3"/>
        <w:bottom w:val="single" w:sz="4" w:space="0" w:color="002554" w:themeColor="accent3"/>
        <w:right w:val="single" w:sz="4" w:space="0" w:color="002554" w:themeColor="accent3"/>
      </w:tblBorders>
    </w:tblPr>
    <w:tblStylePr w:type="firstRow">
      <w:rPr>
        <w:b/>
        <w:bCs/>
        <w:color w:val="FFFFFF" w:themeColor="background1"/>
      </w:rPr>
      <w:tblPr/>
      <w:tcPr>
        <w:shd w:val="clear" w:color="auto" w:fill="002554" w:themeFill="accent3"/>
      </w:tcPr>
    </w:tblStylePr>
    <w:tblStylePr w:type="lastRow">
      <w:rPr>
        <w:b/>
        <w:bCs/>
      </w:rPr>
      <w:tblPr/>
      <w:tcPr>
        <w:tcBorders>
          <w:top w:val="double" w:sz="4" w:space="0" w:color="00255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554" w:themeColor="accent3"/>
          <w:right w:val="single" w:sz="4" w:space="0" w:color="002554" w:themeColor="accent3"/>
        </w:tcBorders>
      </w:tcPr>
    </w:tblStylePr>
    <w:tblStylePr w:type="band1Horz">
      <w:tblPr/>
      <w:tcPr>
        <w:tcBorders>
          <w:top w:val="single" w:sz="4" w:space="0" w:color="002554" w:themeColor="accent3"/>
          <w:bottom w:val="single" w:sz="4" w:space="0" w:color="00255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554" w:themeColor="accent3"/>
          <w:left w:val="nil"/>
        </w:tcBorders>
      </w:tcPr>
    </w:tblStylePr>
    <w:tblStylePr w:type="swCell">
      <w:tblPr/>
      <w:tcPr>
        <w:tcBorders>
          <w:top w:val="double" w:sz="4" w:space="0" w:color="002554" w:themeColor="accent3"/>
          <w:right w:val="nil"/>
        </w:tcBorders>
      </w:tcPr>
    </w:tblStylePr>
  </w:style>
  <w:style w:type="paragraph" w:customStyle="1" w:styleId="Headline">
    <w:name w:val="Headline"/>
    <w:basedOn w:val="Heading1"/>
    <w:qFormat/>
    <w:rsid w:val="00230F2C"/>
    <w:rPr>
      <w:szCs w:val="40"/>
    </w:rPr>
  </w:style>
  <w:style w:type="paragraph" w:customStyle="1" w:styleId="TH">
    <w:name w:val="TH"/>
    <w:basedOn w:val="Normal"/>
    <w:qFormat/>
    <w:rsid w:val="00230F2C"/>
    <w:pPr>
      <w:spacing w:before="60" w:after="60" w:line="240" w:lineRule="auto"/>
    </w:pPr>
    <w:rPr>
      <w:bCs/>
      <w:color w:val="FFFFFF" w:themeColor="background1"/>
    </w:rPr>
  </w:style>
  <w:style w:type="paragraph" w:customStyle="1" w:styleId="TD">
    <w:name w:val="TD"/>
    <w:basedOn w:val="Normal"/>
    <w:qFormat/>
    <w:rsid w:val="00230F2C"/>
    <w:pPr>
      <w:spacing w:before="60" w:after="60" w:line="240" w:lineRule="auto"/>
    </w:pPr>
  </w:style>
  <w:style w:type="paragraph" w:styleId="Header">
    <w:name w:val="header"/>
    <w:basedOn w:val="Normal"/>
    <w:link w:val="HeaderChar"/>
    <w:uiPriority w:val="99"/>
    <w:unhideWhenUsed/>
    <w:qFormat/>
    <w:rsid w:val="000D55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5586"/>
  </w:style>
  <w:style w:type="paragraph" w:styleId="Footer">
    <w:name w:val="footer"/>
    <w:basedOn w:val="Normal"/>
    <w:link w:val="FooterChar"/>
    <w:uiPriority w:val="99"/>
    <w:unhideWhenUsed/>
    <w:qFormat/>
    <w:rsid w:val="000D5586"/>
    <w:pPr>
      <w:tabs>
        <w:tab w:val="center" w:pos="4513"/>
        <w:tab w:val="right" w:pos="9026"/>
      </w:tabs>
      <w:spacing w:after="0" w:line="240" w:lineRule="auto"/>
      <w:jc w:val="right"/>
    </w:pPr>
    <w:rPr>
      <w:sz w:val="20"/>
      <w:szCs w:val="20"/>
    </w:rPr>
  </w:style>
  <w:style w:type="character" w:customStyle="1" w:styleId="FooterChar">
    <w:name w:val="Footer Char"/>
    <w:basedOn w:val="DefaultParagraphFont"/>
    <w:link w:val="Footer"/>
    <w:uiPriority w:val="99"/>
    <w:rsid w:val="000D5586"/>
    <w:rPr>
      <w:sz w:val="20"/>
      <w:szCs w:val="20"/>
    </w:rPr>
  </w:style>
  <w:style w:type="paragraph" w:styleId="NoSpacing">
    <w:name w:val="No Spacing"/>
    <w:uiPriority w:val="1"/>
    <w:qFormat/>
    <w:rsid w:val="000D5586"/>
    <w:pPr>
      <w:spacing w:after="0" w:line="240" w:lineRule="auto"/>
    </w:pPr>
  </w:style>
  <w:style w:type="paragraph" w:styleId="TOCHeading">
    <w:name w:val="TOC Heading"/>
    <w:basedOn w:val="Heading1"/>
    <w:next w:val="Normal"/>
    <w:uiPriority w:val="39"/>
    <w:unhideWhenUsed/>
    <w:qFormat/>
    <w:rsid w:val="00B00DA0"/>
    <w:pPr>
      <w:keepNext/>
      <w:keepLines/>
      <w:spacing w:after="0" w:line="259" w:lineRule="auto"/>
      <w:outlineLvl w:val="9"/>
    </w:pPr>
    <w:rPr>
      <w:rFonts w:asciiTheme="majorHAnsi" w:eastAsiaTheme="majorEastAsia" w:hAnsiTheme="majorHAnsi" w:cstheme="majorBidi"/>
      <w:color w:val="001B3E" w:themeColor="accent1" w:themeShade="BF"/>
      <w:lang w:val="en-US"/>
    </w:rPr>
  </w:style>
  <w:style w:type="paragraph" w:styleId="TOC1">
    <w:name w:val="toc 1"/>
    <w:basedOn w:val="Normal"/>
    <w:next w:val="Normal"/>
    <w:autoRedefine/>
    <w:uiPriority w:val="39"/>
    <w:unhideWhenUsed/>
    <w:qFormat/>
    <w:rsid w:val="003528BB"/>
    <w:pPr>
      <w:tabs>
        <w:tab w:val="right" w:pos="9628"/>
      </w:tabs>
      <w:spacing w:before="240" w:after="0" w:line="240" w:lineRule="auto"/>
    </w:pPr>
    <w:rPr>
      <w:b/>
      <w:noProof/>
    </w:rPr>
  </w:style>
  <w:style w:type="paragraph" w:styleId="TOC2">
    <w:name w:val="toc 2"/>
    <w:basedOn w:val="Normal"/>
    <w:next w:val="Normal"/>
    <w:autoRedefine/>
    <w:uiPriority w:val="39"/>
    <w:unhideWhenUsed/>
    <w:qFormat/>
    <w:rsid w:val="003528BB"/>
    <w:pPr>
      <w:tabs>
        <w:tab w:val="right" w:pos="9628"/>
      </w:tabs>
      <w:spacing w:after="0" w:line="240" w:lineRule="auto"/>
    </w:pPr>
    <w:rPr>
      <w:noProof/>
    </w:rPr>
  </w:style>
  <w:style w:type="paragraph" w:styleId="ListParagraph">
    <w:name w:val="List Paragraph"/>
    <w:basedOn w:val="Normal"/>
    <w:uiPriority w:val="34"/>
    <w:rsid w:val="004C31D6"/>
    <w:pPr>
      <w:ind w:left="720"/>
      <w:contextualSpacing/>
    </w:pPr>
  </w:style>
  <w:style w:type="paragraph" w:customStyle="1" w:styleId="Boxedbluenumbered">
    <w:name w:val="Boxed blue numbered"/>
    <w:basedOn w:val="Boxedbluetext"/>
    <w:qFormat/>
    <w:rsid w:val="004C31D6"/>
    <w:pPr>
      <w:numPr>
        <w:numId w:val="16"/>
      </w:numPr>
      <w:ind w:left="641" w:hanging="357"/>
    </w:pPr>
  </w:style>
  <w:style w:type="paragraph" w:customStyle="1" w:styleId="Boxedyellownumber">
    <w:name w:val="Boxed yellow number"/>
    <w:basedOn w:val="Boxedyellowbullet"/>
    <w:qFormat/>
    <w:rsid w:val="004C31D6"/>
    <w:pPr>
      <w:numPr>
        <w:numId w:val="18"/>
      </w:numPr>
      <w:ind w:left="641" w:hanging="357"/>
    </w:pPr>
  </w:style>
  <w:style w:type="paragraph" w:styleId="TOC3">
    <w:name w:val="toc 3"/>
    <w:basedOn w:val="Normal"/>
    <w:next w:val="Normal"/>
    <w:autoRedefine/>
    <w:uiPriority w:val="39"/>
    <w:unhideWhenUsed/>
    <w:rsid w:val="003528BB"/>
    <w:pPr>
      <w:spacing w:after="100"/>
      <w:ind w:left="440"/>
    </w:pPr>
  </w:style>
  <w:style w:type="character" w:styleId="Hyperlink">
    <w:name w:val="Hyperlink"/>
    <w:basedOn w:val="DefaultParagraphFont"/>
    <w:uiPriority w:val="99"/>
    <w:unhideWhenUsed/>
    <w:rsid w:val="006046AA"/>
    <w:rPr>
      <w:rFonts w:ascii="Arial" w:hAnsi="Arial"/>
      <w:color w:val="auto"/>
      <w:u w:val="single"/>
    </w:rPr>
  </w:style>
  <w:style w:type="paragraph" w:customStyle="1" w:styleId="Covertitle">
    <w:name w:val="Cover title"/>
    <w:basedOn w:val="Normal"/>
    <w:qFormat/>
    <w:rsid w:val="00517F83"/>
    <w:rPr>
      <w:b/>
      <w:color w:val="002554" w:themeColor="text2"/>
      <w:sz w:val="56"/>
      <w:szCs w:val="56"/>
    </w:rPr>
  </w:style>
  <w:style w:type="paragraph" w:customStyle="1" w:styleId="Coversubtitle">
    <w:name w:val="Cover subtitle"/>
    <w:basedOn w:val="Normal"/>
    <w:qFormat/>
    <w:rsid w:val="00517F83"/>
    <w:rPr>
      <w:b/>
      <w:color w:val="002554" w:themeColor="text2"/>
      <w:sz w:val="36"/>
      <w:szCs w:val="36"/>
    </w:rPr>
  </w:style>
  <w:style w:type="paragraph" w:customStyle="1" w:styleId="Coverdate">
    <w:name w:val="Cover date"/>
    <w:basedOn w:val="Normal"/>
    <w:qFormat/>
    <w:rsid w:val="00517F83"/>
    <w:rPr>
      <w:color w:val="002554" w:themeColor="text2"/>
      <w:sz w:val="24"/>
      <w:szCs w:val="24"/>
    </w:rPr>
  </w:style>
  <w:style w:type="paragraph" w:customStyle="1" w:styleId="Coverreference">
    <w:name w:val="Cover reference"/>
    <w:basedOn w:val="Normal"/>
    <w:qFormat/>
    <w:rsid w:val="001C77CB"/>
    <w:rPr>
      <w:color w:val="002554" w:themeColor="text2"/>
      <w:sz w:val="24"/>
    </w:rPr>
  </w:style>
  <w:style w:type="paragraph" w:customStyle="1" w:styleId="Coverpurposeaction">
    <w:name w:val="Cover purpose action"/>
    <w:basedOn w:val="Normal"/>
    <w:qFormat/>
    <w:rsid w:val="00517F83"/>
    <w:rPr>
      <w:b/>
      <w:color w:val="002554" w:themeColor="text2"/>
      <w:sz w:val="24"/>
      <w:szCs w:val="24"/>
    </w:rPr>
  </w:style>
  <w:style w:type="paragraph" w:customStyle="1" w:styleId="Covertoetc">
    <w:name w:val="Cover to etc"/>
    <w:basedOn w:val="Normal"/>
    <w:qFormat/>
    <w:rsid w:val="00517F83"/>
    <w:rPr>
      <w:b/>
      <w:color w:val="002554" w:themeColor="text2"/>
      <w:sz w:val="24"/>
      <w:szCs w:val="24"/>
    </w:rPr>
  </w:style>
  <w:style w:type="paragraph" w:styleId="BalloonText">
    <w:name w:val="Balloon Text"/>
    <w:basedOn w:val="Normal"/>
    <w:link w:val="BalloonTextChar"/>
    <w:uiPriority w:val="99"/>
    <w:semiHidden/>
    <w:unhideWhenUsed/>
    <w:rsid w:val="008972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2D6"/>
    <w:rPr>
      <w:rFonts w:ascii="Segoe UI" w:hAnsi="Segoe UI" w:cs="Segoe UI"/>
      <w:sz w:val="18"/>
      <w:szCs w:val="18"/>
    </w:rPr>
  </w:style>
  <w:style w:type="character" w:customStyle="1" w:styleId="Heading4Char">
    <w:name w:val="Heading 4 Char"/>
    <w:basedOn w:val="DefaultParagraphFont"/>
    <w:link w:val="Heading4"/>
    <w:uiPriority w:val="9"/>
    <w:rsid w:val="007B2053"/>
    <w:rPr>
      <w:b/>
      <w:color w:val="002554" w:themeColor="text2"/>
    </w:rPr>
  </w:style>
  <w:style w:type="character" w:customStyle="1" w:styleId="UnresolvedMention1">
    <w:name w:val="Unresolved Mention1"/>
    <w:basedOn w:val="DefaultParagraphFont"/>
    <w:uiPriority w:val="99"/>
    <w:semiHidden/>
    <w:unhideWhenUsed/>
    <w:rsid w:val="0046712D"/>
    <w:rPr>
      <w:color w:val="605E5C"/>
      <w:shd w:val="clear" w:color="auto" w:fill="E1DFDD"/>
    </w:rPr>
  </w:style>
  <w:style w:type="paragraph" w:customStyle="1" w:styleId="Default">
    <w:name w:val="Default"/>
    <w:rsid w:val="00FA1D51"/>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9230C9"/>
    <w:rPr>
      <w:color w:val="000000" w:themeColor="followedHyperlink"/>
      <w:u w:val="single"/>
    </w:rPr>
  </w:style>
  <w:style w:type="character" w:styleId="CommentReference">
    <w:name w:val="annotation reference"/>
    <w:basedOn w:val="DefaultParagraphFont"/>
    <w:uiPriority w:val="99"/>
    <w:semiHidden/>
    <w:unhideWhenUsed/>
    <w:rsid w:val="006E40C8"/>
    <w:rPr>
      <w:sz w:val="16"/>
      <w:szCs w:val="16"/>
    </w:rPr>
  </w:style>
  <w:style w:type="paragraph" w:styleId="CommentText">
    <w:name w:val="annotation text"/>
    <w:basedOn w:val="Normal"/>
    <w:link w:val="CommentTextChar"/>
    <w:uiPriority w:val="99"/>
    <w:semiHidden/>
    <w:unhideWhenUsed/>
    <w:rsid w:val="006E40C8"/>
    <w:pPr>
      <w:spacing w:line="240" w:lineRule="auto"/>
    </w:pPr>
    <w:rPr>
      <w:sz w:val="20"/>
      <w:szCs w:val="20"/>
    </w:rPr>
  </w:style>
  <w:style w:type="character" w:customStyle="1" w:styleId="CommentTextChar">
    <w:name w:val="Comment Text Char"/>
    <w:basedOn w:val="DefaultParagraphFont"/>
    <w:link w:val="CommentText"/>
    <w:uiPriority w:val="99"/>
    <w:semiHidden/>
    <w:rsid w:val="006E40C8"/>
    <w:rPr>
      <w:sz w:val="20"/>
      <w:szCs w:val="20"/>
    </w:rPr>
  </w:style>
  <w:style w:type="paragraph" w:styleId="CommentSubject">
    <w:name w:val="annotation subject"/>
    <w:basedOn w:val="CommentText"/>
    <w:next w:val="CommentText"/>
    <w:link w:val="CommentSubjectChar"/>
    <w:uiPriority w:val="99"/>
    <w:semiHidden/>
    <w:unhideWhenUsed/>
    <w:rsid w:val="002966A1"/>
    <w:rPr>
      <w:b/>
      <w:bCs/>
    </w:rPr>
  </w:style>
  <w:style w:type="character" w:customStyle="1" w:styleId="CommentSubjectChar">
    <w:name w:val="Comment Subject Char"/>
    <w:basedOn w:val="CommentTextChar"/>
    <w:link w:val="CommentSubject"/>
    <w:uiPriority w:val="99"/>
    <w:semiHidden/>
    <w:rsid w:val="002966A1"/>
    <w:rPr>
      <w:b/>
      <w:bCs/>
      <w:sz w:val="20"/>
      <w:szCs w:val="20"/>
    </w:rPr>
  </w:style>
  <w:style w:type="character" w:customStyle="1" w:styleId="UnresolvedMention2">
    <w:name w:val="Unresolved Mention2"/>
    <w:basedOn w:val="DefaultParagraphFont"/>
    <w:uiPriority w:val="99"/>
    <w:semiHidden/>
    <w:unhideWhenUsed/>
    <w:rsid w:val="00B47EC3"/>
    <w:rPr>
      <w:color w:val="605E5C"/>
      <w:shd w:val="clear" w:color="auto" w:fill="E1DFDD"/>
    </w:rPr>
  </w:style>
  <w:style w:type="paragraph" w:styleId="Revision">
    <w:name w:val="Revision"/>
    <w:hidden/>
    <w:uiPriority w:val="99"/>
    <w:semiHidden/>
    <w:rsid w:val="00363EA0"/>
    <w:pPr>
      <w:spacing w:after="0" w:line="240" w:lineRule="auto"/>
    </w:pPr>
  </w:style>
  <w:style w:type="character" w:customStyle="1" w:styleId="UnresolvedMention3">
    <w:name w:val="Unresolved Mention3"/>
    <w:basedOn w:val="DefaultParagraphFont"/>
    <w:uiPriority w:val="99"/>
    <w:semiHidden/>
    <w:unhideWhenUsed/>
    <w:rsid w:val="00A56BF3"/>
    <w:rPr>
      <w:color w:val="605E5C"/>
      <w:shd w:val="clear" w:color="auto" w:fill="E1DFDD"/>
    </w:rPr>
  </w:style>
  <w:style w:type="character" w:styleId="UnresolvedMention">
    <w:name w:val="Unresolved Mention"/>
    <w:basedOn w:val="DefaultParagraphFont"/>
    <w:uiPriority w:val="99"/>
    <w:semiHidden/>
    <w:unhideWhenUsed/>
    <w:rsid w:val="00DE64AD"/>
    <w:rPr>
      <w:color w:val="605E5C"/>
      <w:shd w:val="clear" w:color="auto" w:fill="E1DFDD"/>
    </w:rPr>
  </w:style>
  <w:style w:type="character" w:styleId="Mention">
    <w:name w:val="Mention"/>
    <w:basedOn w:val="DefaultParagraphFont"/>
    <w:uiPriority w:val="99"/>
    <w:unhideWhenUsed/>
    <w:rsid w:val="0047430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2088">
      <w:bodyDiv w:val="1"/>
      <w:marLeft w:val="0"/>
      <w:marRight w:val="0"/>
      <w:marTop w:val="0"/>
      <w:marBottom w:val="0"/>
      <w:divBdr>
        <w:top w:val="none" w:sz="0" w:space="0" w:color="auto"/>
        <w:left w:val="none" w:sz="0" w:space="0" w:color="auto"/>
        <w:bottom w:val="none" w:sz="0" w:space="0" w:color="auto"/>
        <w:right w:val="none" w:sz="0" w:space="0" w:color="auto"/>
      </w:divBdr>
    </w:div>
    <w:div w:id="132260603">
      <w:bodyDiv w:val="1"/>
      <w:marLeft w:val="0"/>
      <w:marRight w:val="0"/>
      <w:marTop w:val="0"/>
      <w:marBottom w:val="0"/>
      <w:divBdr>
        <w:top w:val="none" w:sz="0" w:space="0" w:color="auto"/>
        <w:left w:val="none" w:sz="0" w:space="0" w:color="auto"/>
        <w:bottom w:val="none" w:sz="0" w:space="0" w:color="auto"/>
        <w:right w:val="none" w:sz="0" w:space="0" w:color="auto"/>
      </w:divBdr>
    </w:div>
    <w:div w:id="289435600">
      <w:bodyDiv w:val="1"/>
      <w:marLeft w:val="0"/>
      <w:marRight w:val="0"/>
      <w:marTop w:val="0"/>
      <w:marBottom w:val="0"/>
      <w:divBdr>
        <w:top w:val="none" w:sz="0" w:space="0" w:color="auto"/>
        <w:left w:val="none" w:sz="0" w:space="0" w:color="auto"/>
        <w:bottom w:val="none" w:sz="0" w:space="0" w:color="auto"/>
        <w:right w:val="none" w:sz="0" w:space="0" w:color="auto"/>
      </w:divBdr>
    </w:div>
    <w:div w:id="531647753">
      <w:bodyDiv w:val="1"/>
      <w:marLeft w:val="0"/>
      <w:marRight w:val="0"/>
      <w:marTop w:val="0"/>
      <w:marBottom w:val="0"/>
      <w:divBdr>
        <w:top w:val="none" w:sz="0" w:space="0" w:color="auto"/>
        <w:left w:val="none" w:sz="0" w:space="0" w:color="auto"/>
        <w:bottom w:val="none" w:sz="0" w:space="0" w:color="auto"/>
        <w:right w:val="none" w:sz="0" w:space="0" w:color="auto"/>
      </w:divBdr>
    </w:div>
    <w:div w:id="733896847">
      <w:bodyDiv w:val="1"/>
      <w:marLeft w:val="0"/>
      <w:marRight w:val="0"/>
      <w:marTop w:val="0"/>
      <w:marBottom w:val="0"/>
      <w:divBdr>
        <w:top w:val="none" w:sz="0" w:space="0" w:color="auto"/>
        <w:left w:val="none" w:sz="0" w:space="0" w:color="auto"/>
        <w:bottom w:val="none" w:sz="0" w:space="0" w:color="auto"/>
        <w:right w:val="none" w:sz="0" w:space="0" w:color="auto"/>
      </w:divBdr>
    </w:div>
    <w:div w:id="825241327">
      <w:bodyDiv w:val="1"/>
      <w:marLeft w:val="0"/>
      <w:marRight w:val="0"/>
      <w:marTop w:val="0"/>
      <w:marBottom w:val="0"/>
      <w:divBdr>
        <w:top w:val="none" w:sz="0" w:space="0" w:color="auto"/>
        <w:left w:val="none" w:sz="0" w:space="0" w:color="auto"/>
        <w:bottom w:val="none" w:sz="0" w:space="0" w:color="auto"/>
        <w:right w:val="none" w:sz="0" w:space="0" w:color="auto"/>
      </w:divBdr>
    </w:div>
    <w:div w:id="836460453">
      <w:bodyDiv w:val="1"/>
      <w:marLeft w:val="0"/>
      <w:marRight w:val="0"/>
      <w:marTop w:val="0"/>
      <w:marBottom w:val="0"/>
      <w:divBdr>
        <w:top w:val="none" w:sz="0" w:space="0" w:color="auto"/>
        <w:left w:val="none" w:sz="0" w:space="0" w:color="auto"/>
        <w:bottom w:val="none" w:sz="0" w:space="0" w:color="auto"/>
        <w:right w:val="none" w:sz="0" w:space="0" w:color="auto"/>
      </w:divBdr>
    </w:div>
    <w:div w:id="880485320">
      <w:bodyDiv w:val="1"/>
      <w:marLeft w:val="0"/>
      <w:marRight w:val="0"/>
      <w:marTop w:val="0"/>
      <w:marBottom w:val="0"/>
      <w:divBdr>
        <w:top w:val="none" w:sz="0" w:space="0" w:color="auto"/>
        <w:left w:val="none" w:sz="0" w:space="0" w:color="auto"/>
        <w:bottom w:val="none" w:sz="0" w:space="0" w:color="auto"/>
        <w:right w:val="none" w:sz="0" w:space="0" w:color="auto"/>
      </w:divBdr>
    </w:div>
    <w:div w:id="1095832286">
      <w:bodyDiv w:val="1"/>
      <w:marLeft w:val="0"/>
      <w:marRight w:val="0"/>
      <w:marTop w:val="0"/>
      <w:marBottom w:val="0"/>
      <w:divBdr>
        <w:top w:val="none" w:sz="0" w:space="0" w:color="auto"/>
        <w:left w:val="none" w:sz="0" w:space="0" w:color="auto"/>
        <w:bottom w:val="none" w:sz="0" w:space="0" w:color="auto"/>
        <w:right w:val="none" w:sz="0" w:space="0" w:color="auto"/>
      </w:divBdr>
    </w:div>
    <w:div w:id="1119179655">
      <w:bodyDiv w:val="1"/>
      <w:marLeft w:val="0"/>
      <w:marRight w:val="0"/>
      <w:marTop w:val="0"/>
      <w:marBottom w:val="0"/>
      <w:divBdr>
        <w:top w:val="none" w:sz="0" w:space="0" w:color="auto"/>
        <w:left w:val="none" w:sz="0" w:space="0" w:color="auto"/>
        <w:bottom w:val="none" w:sz="0" w:space="0" w:color="auto"/>
        <w:right w:val="none" w:sz="0" w:space="0" w:color="auto"/>
      </w:divBdr>
    </w:div>
    <w:div w:id="1155994966">
      <w:bodyDiv w:val="1"/>
      <w:marLeft w:val="0"/>
      <w:marRight w:val="0"/>
      <w:marTop w:val="0"/>
      <w:marBottom w:val="0"/>
      <w:divBdr>
        <w:top w:val="none" w:sz="0" w:space="0" w:color="auto"/>
        <w:left w:val="none" w:sz="0" w:space="0" w:color="auto"/>
        <w:bottom w:val="none" w:sz="0" w:space="0" w:color="auto"/>
        <w:right w:val="none" w:sz="0" w:space="0" w:color="auto"/>
      </w:divBdr>
    </w:div>
    <w:div w:id="1192453522">
      <w:bodyDiv w:val="1"/>
      <w:marLeft w:val="0"/>
      <w:marRight w:val="0"/>
      <w:marTop w:val="0"/>
      <w:marBottom w:val="0"/>
      <w:divBdr>
        <w:top w:val="none" w:sz="0" w:space="0" w:color="auto"/>
        <w:left w:val="none" w:sz="0" w:space="0" w:color="auto"/>
        <w:bottom w:val="none" w:sz="0" w:space="0" w:color="auto"/>
        <w:right w:val="none" w:sz="0" w:space="0" w:color="auto"/>
      </w:divBdr>
    </w:div>
    <w:div w:id="1268468587">
      <w:bodyDiv w:val="1"/>
      <w:marLeft w:val="0"/>
      <w:marRight w:val="0"/>
      <w:marTop w:val="0"/>
      <w:marBottom w:val="0"/>
      <w:divBdr>
        <w:top w:val="none" w:sz="0" w:space="0" w:color="auto"/>
        <w:left w:val="none" w:sz="0" w:space="0" w:color="auto"/>
        <w:bottom w:val="none" w:sz="0" w:space="0" w:color="auto"/>
        <w:right w:val="none" w:sz="0" w:space="0" w:color="auto"/>
      </w:divBdr>
    </w:div>
    <w:div w:id="1335186889">
      <w:bodyDiv w:val="1"/>
      <w:marLeft w:val="0"/>
      <w:marRight w:val="0"/>
      <w:marTop w:val="0"/>
      <w:marBottom w:val="0"/>
      <w:divBdr>
        <w:top w:val="none" w:sz="0" w:space="0" w:color="auto"/>
        <w:left w:val="none" w:sz="0" w:space="0" w:color="auto"/>
        <w:bottom w:val="none" w:sz="0" w:space="0" w:color="auto"/>
        <w:right w:val="none" w:sz="0" w:space="0" w:color="auto"/>
      </w:divBdr>
    </w:div>
    <w:div w:id="1531991675">
      <w:bodyDiv w:val="1"/>
      <w:marLeft w:val="0"/>
      <w:marRight w:val="0"/>
      <w:marTop w:val="0"/>
      <w:marBottom w:val="0"/>
      <w:divBdr>
        <w:top w:val="none" w:sz="0" w:space="0" w:color="auto"/>
        <w:left w:val="none" w:sz="0" w:space="0" w:color="auto"/>
        <w:bottom w:val="none" w:sz="0" w:space="0" w:color="auto"/>
        <w:right w:val="none" w:sz="0" w:space="0" w:color="auto"/>
      </w:divBdr>
    </w:div>
    <w:div w:id="1721704295">
      <w:bodyDiv w:val="1"/>
      <w:marLeft w:val="0"/>
      <w:marRight w:val="0"/>
      <w:marTop w:val="0"/>
      <w:marBottom w:val="0"/>
      <w:divBdr>
        <w:top w:val="none" w:sz="0" w:space="0" w:color="auto"/>
        <w:left w:val="none" w:sz="0" w:space="0" w:color="auto"/>
        <w:bottom w:val="none" w:sz="0" w:space="0" w:color="auto"/>
        <w:right w:val="none" w:sz="0" w:space="0" w:color="auto"/>
      </w:divBdr>
    </w:div>
    <w:div w:id="1833988508">
      <w:bodyDiv w:val="1"/>
      <w:marLeft w:val="0"/>
      <w:marRight w:val="0"/>
      <w:marTop w:val="0"/>
      <w:marBottom w:val="0"/>
      <w:divBdr>
        <w:top w:val="none" w:sz="0" w:space="0" w:color="auto"/>
        <w:left w:val="none" w:sz="0" w:space="0" w:color="auto"/>
        <w:bottom w:val="none" w:sz="0" w:space="0" w:color="auto"/>
        <w:right w:val="none" w:sz="0" w:space="0" w:color="auto"/>
      </w:divBdr>
    </w:div>
    <w:div w:id="1913269168">
      <w:bodyDiv w:val="1"/>
      <w:marLeft w:val="0"/>
      <w:marRight w:val="0"/>
      <w:marTop w:val="0"/>
      <w:marBottom w:val="0"/>
      <w:divBdr>
        <w:top w:val="none" w:sz="0" w:space="0" w:color="auto"/>
        <w:left w:val="none" w:sz="0" w:space="0" w:color="auto"/>
        <w:bottom w:val="none" w:sz="0" w:space="0" w:color="auto"/>
        <w:right w:val="none" w:sz="0" w:space="0" w:color="auto"/>
      </w:divBdr>
    </w:div>
    <w:div w:id="2029598244">
      <w:bodyDiv w:val="1"/>
      <w:marLeft w:val="0"/>
      <w:marRight w:val="0"/>
      <w:marTop w:val="0"/>
      <w:marBottom w:val="0"/>
      <w:divBdr>
        <w:top w:val="none" w:sz="0" w:space="0" w:color="auto"/>
        <w:left w:val="none" w:sz="0" w:space="0" w:color="auto"/>
        <w:bottom w:val="none" w:sz="0" w:space="0" w:color="auto"/>
        <w:right w:val="none" w:sz="0" w:space="0" w:color="auto"/>
      </w:divBdr>
    </w:div>
    <w:div w:id="2072457323">
      <w:bodyDiv w:val="1"/>
      <w:marLeft w:val="0"/>
      <w:marRight w:val="0"/>
      <w:marTop w:val="0"/>
      <w:marBottom w:val="0"/>
      <w:divBdr>
        <w:top w:val="none" w:sz="0" w:space="0" w:color="auto"/>
        <w:left w:val="none" w:sz="0" w:space="0" w:color="auto"/>
        <w:bottom w:val="none" w:sz="0" w:space="0" w:color="auto"/>
        <w:right w:val="none" w:sz="0" w:space="0" w:color="auto"/>
      </w:divBdr>
    </w:div>
    <w:div w:id="212044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officeforstudents.org.uk/publications/annual-trac-2017-18/"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officeforstudents.org.uk/data-and-analysis/trac-data/published-data-2016-17/" TargetMode="External"/><Relationship Id="rId20" Type="http://schemas.openxmlformats.org/officeDocument/2006/relationships/footer" Target="foot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2.png"/><Relationship Id="rId27" Type="http://schemas.openxmlformats.org/officeDocument/2006/relationships/image" Target="media/image4.png"/><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trac.ac.uk/tracguidance/" TargetMode="External"/><Relationship Id="rId2" Type="http://schemas.openxmlformats.org/officeDocument/2006/relationships/hyperlink" Target="http://www.trac.ac.uk/tracguidance/" TargetMode="External"/><Relationship Id="rId1" Type="http://schemas.openxmlformats.org/officeDocument/2006/relationships/hyperlink" Target="https://www.officeforstudents.org.uk/data-and-analysis/trac-data/published-data-2018-19/" TargetMode="External"/><Relationship Id="rId5" Type="http://schemas.openxmlformats.org/officeDocument/2006/relationships/hyperlink" Target="https://www.trac.ac.uk/tracguidance/" TargetMode="External"/><Relationship Id="rId4" Type="http://schemas.openxmlformats.org/officeDocument/2006/relationships/hyperlink" Target="https://www.officeforstudents.org.uk/data-and-analysis/trac-data/published-data-2018-1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word\Communications\Numbered%20publication%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58F847ECF1445E8A7A332F34EEAEB3"/>
        <w:category>
          <w:name w:val="General"/>
          <w:gallery w:val="placeholder"/>
        </w:category>
        <w:types>
          <w:type w:val="bbPlcHdr"/>
        </w:types>
        <w:behaviors>
          <w:behavior w:val="content"/>
        </w:behaviors>
        <w:guid w:val="{57A20C7D-7552-4246-BC6A-B274E62B2FAE}"/>
      </w:docPartPr>
      <w:docPartBody>
        <w:p w:rsidR="00E41FAB" w:rsidRDefault="00B00C74" w:rsidP="00B00C74">
          <w:pPr>
            <w:pStyle w:val="4558F847ECF1445E8A7A332F34EEAEB3"/>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C74"/>
    <w:rsid w:val="00010012"/>
    <w:rsid w:val="00042EBF"/>
    <w:rsid w:val="00077FDE"/>
    <w:rsid w:val="00097131"/>
    <w:rsid w:val="000F577E"/>
    <w:rsid w:val="00126620"/>
    <w:rsid w:val="002E338D"/>
    <w:rsid w:val="0037667B"/>
    <w:rsid w:val="003E1080"/>
    <w:rsid w:val="003F2EE4"/>
    <w:rsid w:val="005207D7"/>
    <w:rsid w:val="0057695A"/>
    <w:rsid w:val="00634709"/>
    <w:rsid w:val="007C0B27"/>
    <w:rsid w:val="00877FAC"/>
    <w:rsid w:val="008F15DA"/>
    <w:rsid w:val="00906039"/>
    <w:rsid w:val="00AD0978"/>
    <w:rsid w:val="00B00C74"/>
    <w:rsid w:val="00B17F8A"/>
    <w:rsid w:val="00C06866"/>
    <w:rsid w:val="00C77C81"/>
    <w:rsid w:val="00C92553"/>
    <w:rsid w:val="00E41FAB"/>
    <w:rsid w:val="00EE4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58F847ECF1445E8A7A332F34EEAEB3">
    <w:name w:val="4558F847ECF1445E8A7A332F34EEAEB3"/>
    <w:rsid w:val="00B00C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2554"/>
      </a:dk2>
      <a:lt2>
        <a:srgbClr val="E7E6E6"/>
      </a:lt2>
      <a:accent1>
        <a:srgbClr val="002554"/>
      </a:accent1>
      <a:accent2>
        <a:srgbClr val="F1B434"/>
      </a:accent2>
      <a:accent3>
        <a:srgbClr val="002554"/>
      </a:accent3>
      <a:accent4>
        <a:srgbClr val="F1B434"/>
      </a:accent4>
      <a:accent5>
        <a:srgbClr val="DDECFF"/>
      </a:accent5>
      <a:accent6>
        <a:srgbClr val="FDF2DB"/>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50749613F96F4AAAA33E376B17F068" ma:contentTypeVersion="4" ma:contentTypeDescription="Create a new document." ma:contentTypeScope="" ma:versionID="4afc2867b2b39603894c05d86126ae83">
  <xsd:schema xmlns:xsd="http://www.w3.org/2001/XMLSchema" xmlns:xs="http://www.w3.org/2001/XMLSchema" xmlns:p="http://schemas.microsoft.com/office/2006/metadata/properties" xmlns:ns2="3e405583-359d-43b4-b273-0eaaf844b1bc" xmlns:ns3="9725470d-b104-4800-856e-7fa0935e3508" targetNamespace="http://schemas.microsoft.com/office/2006/metadata/properties" ma:root="true" ma:fieldsID="25d2d3463918a0673dcc4c78c532bc06" ns2:_="" ns3:_="">
    <xsd:import namespace="3e405583-359d-43b4-b273-0eaaf844b1bc"/>
    <xsd:import namespace="9725470d-b104-4800-856e-7fa0935e3508"/>
    <xsd:element name="properties">
      <xsd:complexType>
        <xsd:sequence>
          <xsd:element name="documentManagement">
            <xsd:complexType>
              <xsd:all>
                <xsd:element ref="ns2:OFSSourceUrl" minOccurs="0"/>
                <xsd:element ref="ns3:MediaServiceFastMetadata" minOccurs="0"/>
                <xsd:element ref="ns3:MediaService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405583-359d-43b4-b273-0eaaf844b1bc" elementFormDefault="qualified">
    <xsd:import namespace="http://schemas.microsoft.com/office/2006/documentManagement/types"/>
    <xsd:import namespace="http://schemas.microsoft.com/office/infopath/2007/PartnerControls"/>
    <xsd:element name="OFSSourceUrl" ma:index="8" nillable="true" ma:displayName="OFSSourceUrl" ma:hidden="true" ma:internalName="OFSSourceUrl"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25470d-b104-4800-856e-7fa0935e3508" elementFormDefault="qualified">
    <xsd:import namespace="http://schemas.microsoft.com/office/2006/documentManagement/types"/>
    <xsd:import namespace="http://schemas.microsoft.com/office/infopath/2007/PartnerControls"/>
    <xsd:element name="MediaServiceFastMetadata" ma:index="9" nillable="true" ma:displayName="MediaServiceFastMetadata" ma:hidden="true" ma:internalName="MediaServiceFastMetadata" ma:readOnly="true">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ac42e1f-8393-410e-9ca5-f333132f5efe"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OFSSourceUrl xmlns="3e405583-359d-43b4-b273-0eaaf844b1bc"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091E7-E369-4333-8BC7-CDADC04C3AE8}">
  <ds:schemaRefs>
    <ds:schemaRef ds:uri="http://schemas.microsoft.com/sharepoint/v3/contenttype/forms"/>
  </ds:schemaRefs>
</ds:datastoreItem>
</file>

<file path=customXml/itemProps2.xml><?xml version="1.0" encoding="utf-8"?>
<ds:datastoreItem xmlns:ds="http://schemas.openxmlformats.org/officeDocument/2006/customXml" ds:itemID="{300AF6BA-C95B-444B-B929-81C69A37CC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405583-359d-43b4-b273-0eaaf844b1bc"/>
    <ds:schemaRef ds:uri="9725470d-b104-4800-856e-7fa0935e35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22A69C-187A-4EA0-8936-C1E7B6C72FA2}">
  <ds:schemaRefs>
    <ds:schemaRef ds:uri="Microsoft.SharePoint.Taxonomy.ContentTypeSync"/>
  </ds:schemaRefs>
</ds:datastoreItem>
</file>

<file path=customXml/itemProps4.xml><?xml version="1.0" encoding="utf-8"?>
<ds:datastoreItem xmlns:ds="http://schemas.openxmlformats.org/officeDocument/2006/customXml" ds:itemID="{922E7475-2AF5-400A-82A8-9485F506D3FB}">
  <ds:schemaRefs>
    <ds:schemaRef ds:uri="http://www.w3.org/XML/1998/namespace"/>
    <ds:schemaRef ds:uri="3e405583-359d-43b4-b273-0eaaf844b1bc"/>
    <ds:schemaRef ds:uri="http://schemas.microsoft.com/office/2006/documentManagement/types"/>
    <ds:schemaRef ds:uri="http://purl.org/dc/dcmitype/"/>
    <ds:schemaRef ds:uri="http://purl.org/dc/elements/1.1/"/>
    <ds:schemaRef ds:uri="9725470d-b104-4800-856e-7fa0935e3508"/>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5.xml><?xml version="1.0" encoding="utf-8"?>
<ds:datastoreItem xmlns:ds="http://schemas.openxmlformats.org/officeDocument/2006/customXml" ds:itemID="{E87D27EA-6D99-4372-B24C-A4C1A262C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Numbered publication template</Template>
  <TotalTime>53</TotalTime>
  <Pages>19</Pages>
  <Words>3762</Words>
  <Characters>20768</Characters>
  <Application>Microsoft Office Word</Application>
  <DocSecurity>0</DocSecurity>
  <Lines>1093</Lines>
  <Paragraphs>791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23739</CharactersWithSpaces>
  <SharedDoc>false</SharedDoc>
  <HLinks>
    <vt:vector size="186" baseType="variant">
      <vt:variant>
        <vt:i4>3932245</vt:i4>
      </vt:variant>
      <vt:variant>
        <vt:i4>102</vt:i4>
      </vt:variant>
      <vt:variant>
        <vt:i4>0</vt:i4>
      </vt:variant>
      <vt:variant>
        <vt:i4>5</vt:i4>
      </vt:variant>
      <vt:variant>
        <vt:lpwstr>mailto:trac@officeforstudents.org.uk</vt:lpwstr>
      </vt:variant>
      <vt:variant>
        <vt:lpwstr/>
      </vt:variant>
      <vt:variant>
        <vt:i4>6029328</vt:i4>
      </vt:variant>
      <vt:variant>
        <vt:i4>99</vt:i4>
      </vt:variant>
      <vt:variant>
        <vt:i4>0</vt:i4>
      </vt:variant>
      <vt:variant>
        <vt:i4>5</vt:i4>
      </vt:variant>
      <vt:variant>
        <vt:lpwstr>http://www.officeforstudents.org.uk/publications/annual-trac-2017-18/</vt:lpwstr>
      </vt:variant>
      <vt:variant>
        <vt:lpwstr/>
      </vt:variant>
      <vt:variant>
        <vt:i4>2686988</vt:i4>
      </vt:variant>
      <vt:variant>
        <vt:i4>92</vt:i4>
      </vt:variant>
      <vt:variant>
        <vt:i4>0</vt:i4>
      </vt:variant>
      <vt:variant>
        <vt:i4>5</vt:i4>
      </vt:variant>
      <vt:variant>
        <vt:lpwstr/>
      </vt:variant>
      <vt:variant>
        <vt:lpwstr>_Toc9428727</vt:lpwstr>
      </vt:variant>
      <vt:variant>
        <vt:i4>2686988</vt:i4>
      </vt:variant>
      <vt:variant>
        <vt:i4>86</vt:i4>
      </vt:variant>
      <vt:variant>
        <vt:i4>0</vt:i4>
      </vt:variant>
      <vt:variant>
        <vt:i4>5</vt:i4>
      </vt:variant>
      <vt:variant>
        <vt:lpwstr/>
      </vt:variant>
      <vt:variant>
        <vt:lpwstr>_Toc9428726</vt:lpwstr>
      </vt:variant>
      <vt:variant>
        <vt:i4>2686988</vt:i4>
      </vt:variant>
      <vt:variant>
        <vt:i4>80</vt:i4>
      </vt:variant>
      <vt:variant>
        <vt:i4>0</vt:i4>
      </vt:variant>
      <vt:variant>
        <vt:i4>5</vt:i4>
      </vt:variant>
      <vt:variant>
        <vt:lpwstr/>
      </vt:variant>
      <vt:variant>
        <vt:lpwstr>_Toc9428725</vt:lpwstr>
      </vt:variant>
      <vt:variant>
        <vt:i4>2686988</vt:i4>
      </vt:variant>
      <vt:variant>
        <vt:i4>74</vt:i4>
      </vt:variant>
      <vt:variant>
        <vt:i4>0</vt:i4>
      </vt:variant>
      <vt:variant>
        <vt:i4>5</vt:i4>
      </vt:variant>
      <vt:variant>
        <vt:lpwstr/>
      </vt:variant>
      <vt:variant>
        <vt:lpwstr>_Toc9428724</vt:lpwstr>
      </vt:variant>
      <vt:variant>
        <vt:i4>2686988</vt:i4>
      </vt:variant>
      <vt:variant>
        <vt:i4>68</vt:i4>
      </vt:variant>
      <vt:variant>
        <vt:i4>0</vt:i4>
      </vt:variant>
      <vt:variant>
        <vt:i4>5</vt:i4>
      </vt:variant>
      <vt:variant>
        <vt:lpwstr/>
      </vt:variant>
      <vt:variant>
        <vt:lpwstr>_Toc9428723</vt:lpwstr>
      </vt:variant>
      <vt:variant>
        <vt:i4>2686988</vt:i4>
      </vt:variant>
      <vt:variant>
        <vt:i4>62</vt:i4>
      </vt:variant>
      <vt:variant>
        <vt:i4>0</vt:i4>
      </vt:variant>
      <vt:variant>
        <vt:i4>5</vt:i4>
      </vt:variant>
      <vt:variant>
        <vt:lpwstr/>
      </vt:variant>
      <vt:variant>
        <vt:lpwstr>_Toc9428722</vt:lpwstr>
      </vt:variant>
      <vt:variant>
        <vt:i4>2686988</vt:i4>
      </vt:variant>
      <vt:variant>
        <vt:i4>56</vt:i4>
      </vt:variant>
      <vt:variant>
        <vt:i4>0</vt:i4>
      </vt:variant>
      <vt:variant>
        <vt:i4>5</vt:i4>
      </vt:variant>
      <vt:variant>
        <vt:lpwstr/>
      </vt:variant>
      <vt:variant>
        <vt:lpwstr>_Toc9428721</vt:lpwstr>
      </vt:variant>
      <vt:variant>
        <vt:i4>2686988</vt:i4>
      </vt:variant>
      <vt:variant>
        <vt:i4>50</vt:i4>
      </vt:variant>
      <vt:variant>
        <vt:i4>0</vt:i4>
      </vt:variant>
      <vt:variant>
        <vt:i4>5</vt:i4>
      </vt:variant>
      <vt:variant>
        <vt:lpwstr/>
      </vt:variant>
      <vt:variant>
        <vt:lpwstr>_Toc9428720</vt:lpwstr>
      </vt:variant>
      <vt:variant>
        <vt:i4>2752524</vt:i4>
      </vt:variant>
      <vt:variant>
        <vt:i4>44</vt:i4>
      </vt:variant>
      <vt:variant>
        <vt:i4>0</vt:i4>
      </vt:variant>
      <vt:variant>
        <vt:i4>5</vt:i4>
      </vt:variant>
      <vt:variant>
        <vt:lpwstr/>
      </vt:variant>
      <vt:variant>
        <vt:lpwstr>_Toc9428719</vt:lpwstr>
      </vt:variant>
      <vt:variant>
        <vt:i4>2752524</vt:i4>
      </vt:variant>
      <vt:variant>
        <vt:i4>38</vt:i4>
      </vt:variant>
      <vt:variant>
        <vt:i4>0</vt:i4>
      </vt:variant>
      <vt:variant>
        <vt:i4>5</vt:i4>
      </vt:variant>
      <vt:variant>
        <vt:lpwstr/>
      </vt:variant>
      <vt:variant>
        <vt:lpwstr>_Toc9428718</vt:lpwstr>
      </vt:variant>
      <vt:variant>
        <vt:i4>2752524</vt:i4>
      </vt:variant>
      <vt:variant>
        <vt:i4>32</vt:i4>
      </vt:variant>
      <vt:variant>
        <vt:i4>0</vt:i4>
      </vt:variant>
      <vt:variant>
        <vt:i4>5</vt:i4>
      </vt:variant>
      <vt:variant>
        <vt:lpwstr/>
      </vt:variant>
      <vt:variant>
        <vt:lpwstr>_Toc9428717</vt:lpwstr>
      </vt:variant>
      <vt:variant>
        <vt:i4>2752524</vt:i4>
      </vt:variant>
      <vt:variant>
        <vt:i4>26</vt:i4>
      </vt:variant>
      <vt:variant>
        <vt:i4>0</vt:i4>
      </vt:variant>
      <vt:variant>
        <vt:i4>5</vt:i4>
      </vt:variant>
      <vt:variant>
        <vt:lpwstr/>
      </vt:variant>
      <vt:variant>
        <vt:lpwstr>_Toc9428716</vt:lpwstr>
      </vt:variant>
      <vt:variant>
        <vt:i4>2752524</vt:i4>
      </vt:variant>
      <vt:variant>
        <vt:i4>20</vt:i4>
      </vt:variant>
      <vt:variant>
        <vt:i4>0</vt:i4>
      </vt:variant>
      <vt:variant>
        <vt:i4>5</vt:i4>
      </vt:variant>
      <vt:variant>
        <vt:lpwstr/>
      </vt:variant>
      <vt:variant>
        <vt:lpwstr>_Toc9428715</vt:lpwstr>
      </vt:variant>
      <vt:variant>
        <vt:i4>2752524</vt:i4>
      </vt:variant>
      <vt:variant>
        <vt:i4>14</vt:i4>
      </vt:variant>
      <vt:variant>
        <vt:i4>0</vt:i4>
      </vt:variant>
      <vt:variant>
        <vt:i4>5</vt:i4>
      </vt:variant>
      <vt:variant>
        <vt:lpwstr/>
      </vt:variant>
      <vt:variant>
        <vt:lpwstr>_Toc9428714</vt:lpwstr>
      </vt:variant>
      <vt:variant>
        <vt:i4>2752524</vt:i4>
      </vt:variant>
      <vt:variant>
        <vt:i4>8</vt:i4>
      </vt:variant>
      <vt:variant>
        <vt:i4>0</vt:i4>
      </vt:variant>
      <vt:variant>
        <vt:i4>5</vt:i4>
      </vt:variant>
      <vt:variant>
        <vt:lpwstr/>
      </vt:variant>
      <vt:variant>
        <vt:lpwstr>_Toc9428713</vt:lpwstr>
      </vt:variant>
      <vt:variant>
        <vt:i4>2752524</vt:i4>
      </vt:variant>
      <vt:variant>
        <vt:i4>2</vt:i4>
      </vt:variant>
      <vt:variant>
        <vt:i4>0</vt:i4>
      </vt:variant>
      <vt:variant>
        <vt:i4>5</vt:i4>
      </vt:variant>
      <vt:variant>
        <vt:lpwstr/>
      </vt:variant>
      <vt:variant>
        <vt:lpwstr>_Toc9428712</vt:lpwstr>
      </vt:variant>
      <vt:variant>
        <vt:i4>4915273</vt:i4>
      </vt:variant>
      <vt:variant>
        <vt:i4>15</vt:i4>
      </vt:variant>
      <vt:variant>
        <vt:i4>0</vt:i4>
      </vt:variant>
      <vt:variant>
        <vt:i4>5</vt:i4>
      </vt:variant>
      <vt:variant>
        <vt:lpwstr>https://www.trac.ac.uk/tracguidance/</vt:lpwstr>
      </vt:variant>
      <vt:variant>
        <vt:lpwstr/>
      </vt:variant>
      <vt:variant>
        <vt:i4>4915273</vt:i4>
      </vt:variant>
      <vt:variant>
        <vt:i4>12</vt:i4>
      </vt:variant>
      <vt:variant>
        <vt:i4>0</vt:i4>
      </vt:variant>
      <vt:variant>
        <vt:i4>5</vt:i4>
      </vt:variant>
      <vt:variant>
        <vt:lpwstr>https://www.trac.ac.uk/tracguidance/</vt:lpwstr>
      </vt:variant>
      <vt:variant>
        <vt:lpwstr/>
      </vt:variant>
      <vt:variant>
        <vt:i4>2752611</vt:i4>
      </vt:variant>
      <vt:variant>
        <vt:i4>9</vt:i4>
      </vt:variant>
      <vt:variant>
        <vt:i4>0</vt:i4>
      </vt:variant>
      <vt:variant>
        <vt:i4>5</vt:i4>
      </vt:variant>
      <vt:variant>
        <vt:lpwstr>http://www.officeforstudents.org.uk/data-and-analysis/trac-data/published-data-2017-18/</vt:lpwstr>
      </vt:variant>
      <vt:variant>
        <vt:lpwstr/>
      </vt:variant>
      <vt:variant>
        <vt:i4>2228348</vt:i4>
      </vt:variant>
      <vt:variant>
        <vt:i4>6</vt:i4>
      </vt:variant>
      <vt:variant>
        <vt:i4>0</vt:i4>
      </vt:variant>
      <vt:variant>
        <vt:i4>5</vt:i4>
      </vt:variant>
      <vt:variant>
        <vt:lpwstr>http://www.trac.ac.uk/tracguidance/</vt:lpwstr>
      </vt:variant>
      <vt:variant>
        <vt:lpwstr/>
      </vt:variant>
      <vt:variant>
        <vt:i4>4915273</vt:i4>
      </vt:variant>
      <vt:variant>
        <vt:i4>3</vt:i4>
      </vt:variant>
      <vt:variant>
        <vt:i4>0</vt:i4>
      </vt:variant>
      <vt:variant>
        <vt:i4>5</vt:i4>
      </vt:variant>
      <vt:variant>
        <vt:lpwstr>https://www.trac.ac.uk/tracguidance/</vt:lpwstr>
      </vt:variant>
      <vt:variant>
        <vt:lpwstr/>
      </vt:variant>
      <vt:variant>
        <vt:i4>2752611</vt:i4>
      </vt:variant>
      <vt:variant>
        <vt:i4>0</vt:i4>
      </vt:variant>
      <vt:variant>
        <vt:i4>0</vt:i4>
      </vt:variant>
      <vt:variant>
        <vt:i4>5</vt:i4>
      </vt:variant>
      <vt:variant>
        <vt:lpwstr>http://www.officeforstudents.org.uk/data-and-analysis/trac-data/published-data-2017-18/</vt:lpwstr>
      </vt:variant>
      <vt:variant>
        <vt:lpwstr/>
      </vt:variant>
      <vt:variant>
        <vt:i4>2424841</vt:i4>
      </vt:variant>
      <vt:variant>
        <vt:i4>18</vt:i4>
      </vt:variant>
      <vt:variant>
        <vt:i4>0</vt:i4>
      </vt:variant>
      <vt:variant>
        <vt:i4>5</vt:i4>
      </vt:variant>
      <vt:variant>
        <vt:lpwstr>mailto:Heather.Williams@officeforstudents.org.uk</vt:lpwstr>
      </vt:variant>
      <vt:variant>
        <vt:lpwstr/>
      </vt:variant>
      <vt:variant>
        <vt:i4>2424841</vt:i4>
      </vt:variant>
      <vt:variant>
        <vt:i4>15</vt:i4>
      </vt:variant>
      <vt:variant>
        <vt:i4>0</vt:i4>
      </vt:variant>
      <vt:variant>
        <vt:i4>5</vt:i4>
      </vt:variant>
      <vt:variant>
        <vt:lpwstr>mailto:Heather.Williams@officeforstudents.org.uk</vt:lpwstr>
      </vt:variant>
      <vt:variant>
        <vt:lpwstr/>
      </vt:variant>
      <vt:variant>
        <vt:i4>2424841</vt:i4>
      </vt:variant>
      <vt:variant>
        <vt:i4>12</vt:i4>
      </vt:variant>
      <vt:variant>
        <vt:i4>0</vt:i4>
      </vt:variant>
      <vt:variant>
        <vt:i4>5</vt:i4>
      </vt:variant>
      <vt:variant>
        <vt:lpwstr>mailto:Heather.Williams@officeforstudents.org.uk</vt:lpwstr>
      </vt:variant>
      <vt:variant>
        <vt:lpwstr/>
      </vt:variant>
      <vt:variant>
        <vt:i4>2424841</vt:i4>
      </vt:variant>
      <vt:variant>
        <vt:i4>9</vt:i4>
      </vt:variant>
      <vt:variant>
        <vt:i4>0</vt:i4>
      </vt:variant>
      <vt:variant>
        <vt:i4>5</vt:i4>
      </vt:variant>
      <vt:variant>
        <vt:lpwstr>mailto:Heather.Williams@officeforstudents.org.uk</vt:lpwstr>
      </vt:variant>
      <vt:variant>
        <vt:lpwstr/>
      </vt:variant>
      <vt:variant>
        <vt:i4>2424841</vt:i4>
      </vt:variant>
      <vt:variant>
        <vt:i4>6</vt:i4>
      </vt:variant>
      <vt:variant>
        <vt:i4>0</vt:i4>
      </vt:variant>
      <vt:variant>
        <vt:i4>5</vt:i4>
      </vt:variant>
      <vt:variant>
        <vt:lpwstr>mailto:Heather.Williams@officeforstudents.org.uk</vt:lpwstr>
      </vt:variant>
      <vt:variant>
        <vt:lpwstr/>
      </vt:variant>
      <vt:variant>
        <vt:i4>2424841</vt:i4>
      </vt:variant>
      <vt:variant>
        <vt:i4>3</vt:i4>
      </vt:variant>
      <vt:variant>
        <vt:i4>0</vt:i4>
      </vt:variant>
      <vt:variant>
        <vt:i4>5</vt:i4>
      </vt:variant>
      <vt:variant>
        <vt:lpwstr>mailto:Heather.Williams@officeforstudents.org.uk</vt:lpwstr>
      </vt:variant>
      <vt:variant>
        <vt:lpwstr/>
      </vt:variant>
      <vt:variant>
        <vt:i4>2424841</vt:i4>
      </vt:variant>
      <vt:variant>
        <vt:i4>0</vt:i4>
      </vt:variant>
      <vt:variant>
        <vt:i4>0</vt:i4>
      </vt:variant>
      <vt:variant>
        <vt:i4>5</vt:i4>
      </vt:variant>
      <vt:variant>
        <vt:lpwstr>mailto:Heather.Williams@officeforstudents.org.uk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TRAC 2018-19 sector analysis</dc:title>
  <dc:subject/>
  <dc:creator>Heather Williams [7113]</dc:creator>
  <cp:keywords/>
  <dc:description/>
  <cp:lastModifiedBy>Sara Carroll</cp:lastModifiedBy>
  <cp:revision>22</cp:revision>
  <cp:lastPrinted>2020-06-18T08:25:00Z</cp:lastPrinted>
  <dcterms:created xsi:type="dcterms:W3CDTF">2020-06-16T16:01:00Z</dcterms:created>
  <dcterms:modified xsi:type="dcterms:W3CDTF">2021-07-29T14:20:00Z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0x010100CA50749613F96F4AAAA33E376B17F068</vt:lpwstr>
  </property>
</Properties>
</file>